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F8" w:rsidRDefault="00513DF8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pt;margin-top:-56.7pt;width:345.55pt;height:84.6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y8hqVAQAAKAMAAA4AAABkcnMvZTJvRG9jLnhtbKxSXU/DIBR9N/E/EN5du1l1NuuMZtGY&#10;GDVRfwCjsJIULgG2dv/eC91X9M34QoFze+455zK763VLNsJ5Baai41FOiTAcamVWFf36fLyYUuID&#10;MzVrwYiKboWnd/Pzs1lnSzGBBtpaOIIkxpedrWgTgi2zzPNGaOZHYIVBUILTLODRrbLasQ7ZdZtN&#10;8vw668DV1gEX3uPtYgDpPPFLKXh4k9KLQNqKoraQVpfWZVqz+YyVK8dso/hOB/uDDM2Uwa4HqgUL&#10;jKyd+kWlFXfgQYYRB52BlIqLZALtjPMfdj4aZkUyg+l4e8jJ/x8tf928O6Lqik4oMUzjjCjBUDrr&#10;S8Q+LKKhf4Aep3sAPN5Gs710On7RBsECDHh7DFX0gXC8LS6n02J6RQlHcJzfFMUEC7FFdiSwzocn&#10;AZrETUUdzi2lyTYvPuxq9zX4YxQ3aIi70C/7veQl1FtU3D4bzOh2XBRx6OlQXN3Evu4UWZ4izPAG&#10;8GkMnQ3crwNINXSPbQbqXXecRjKwezlx3KfnVHV84PNvAAAA//8DAFBLAwQUAAYACAAAACEAfIu+&#10;eeQAAAARAQAADwAAAGRycy9kb3ducmV2LnhtbEyPQU/DMAyF70j8h8hI3LZkYy20azohJq4gtoHE&#10;LWu8tqJxqiZby7/HnOBiyfL3nt8rNpPrxAWH0HrSsJgrEEiVty3VGg7759kDiBANWdN5Qg3fGGBT&#10;Xl8VJrd+pDe87GIt2IRCbjQ0Mfa5lKFq0Jkw9z0S305+cCbyOtTSDmZkc9fJpVKpdKYl/tCYHp8a&#10;rL52Z6fh/eX0+bFSr/XWJf3oJyXJZVLr25tpu+bxuAYRcYp/CvjtwPmh5GBHfyYbRKfhTqUJoxpm&#10;SbIEwUSW3acgjowuVtxVloX836T8AQAA//8DAFBLAQItABQABgAIAAAAIQBaIpOj/wAAAOUBAAAT&#10;AAAAAAAAAAAAAAAAAAAAAABbQ29udGVudF9UeXBlc10ueG1sUEsBAi0AFAAGAAgAAAAhAKdKzzjX&#10;AAAAlgEAAAsAAAAAAAAAAAAAAAAAMAEAAF9yZWxzLy5yZWxzUEsBAi0AFAAGAAgAAAAhAJky8hqV&#10;AQAAKAMAAA4AAAAAAAAAAAAAAAAAMAIAAGRycy9lMm9Eb2MueG1sUEsBAi0AFAAGAAgAAAAhAHyL&#10;vnnkAAAAEQEAAA8AAAAAAAAAAAAAAAAA8QMAAGRycy9kb3ducmV2LnhtbFBLBQYAAAAABAAEAPMA&#10;AAACBQAAAAB5Y3k5a2IzZHVjbVYyTG5odGJGQm==&#10;" filled="f" stroked="f">
            <v:textbox>
              <w:txbxContent>
                <w:p w:rsidR="00513DF8" w:rsidRDefault="00513DF8" w:rsidP="00513DF8">
                  <w:pPr>
                    <w:pStyle w:val="Contenudecadre"/>
                  </w:pPr>
                  <w:r>
                    <w:rPr>
                      <w:rFonts w:ascii="Arial Black" w:hAnsi="Arial Black"/>
                      <w:b/>
                      <w:bCs/>
                      <w:color w:val="CC0000"/>
                      <w:sz w:val="120"/>
                      <w:szCs w:val="120"/>
                    </w:rPr>
                    <w:t>CORREZE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margin">
              <wp:posOffset>-737870</wp:posOffset>
            </wp:positionV>
            <wp:extent cx="1085850" cy="1085850"/>
            <wp:effectExtent l="19050" t="0" r="0" b="0"/>
            <wp:wrapTopAndBottom/>
            <wp:docPr id="1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DF8" w:rsidRDefault="00513DF8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13DF8" w:rsidRPr="00513DF8" w:rsidRDefault="00513DF8" w:rsidP="00513DF8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513DF8">
        <w:rPr>
          <w:rFonts w:ascii="Times New Roman" w:hAnsi="Times New Roman" w:cs="Times New Roman"/>
          <w:b/>
          <w:sz w:val="72"/>
        </w:rPr>
        <w:t>CHS du 4 mars 2021</w:t>
      </w:r>
    </w:p>
    <w:p w:rsidR="00513DF8" w:rsidRPr="00513DF8" w:rsidRDefault="00513DF8" w:rsidP="00513DF8">
      <w:pPr>
        <w:spacing w:after="120"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513DF8">
        <w:rPr>
          <w:rFonts w:ascii="Times New Roman" w:hAnsi="Times New Roman" w:cs="Times New Roman"/>
          <w:b/>
          <w:sz w:val="96"/>
        </w:rPr>
        <w:t>Déclaration liminaire</w:t>
      </w:r>
    </w:p>
    <w:p w:rsidR="00513DF8" w:rsidRDefault="00513DF8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360DD" w:rsidRDefault="006360DD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A860B1" w:rsidRDefault="009455E7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455E7">
        <w:rPr>
          <w:rFonts w:ascii="Times New Roman" w:hAnsi="Times New Roman" w:cs="Times New Roman"/>
          <w:sz w:val="24"/>
        </w:rPr>
        <w:t>Après une année 2020 de fonctionnement perturbé et axé</w:t>
      </w:r>
      <w:r>
        <w:rPr>
          <w:rFonts w:ascii="Times New Roman" w:hAnsi="Times New Roman" w:cs="Times New Roman"/>
          <w:sz w:val="24"/>
        </w:rPr>
        <w:t xml:space="preserve"> en grande partie sur le risque COVID, FO-</w:t>
      </w:r>
      <w:proofErr w:type="spellStart"/>
      <w:r>
        <w:rPr>
          <w:rFonts w:ascii="Times New Roman" w:hAnsi="Times New Roman" w:cs="Times New Roman"/>
          <w:sz w:val="24"/>
        </w:rPr>
        <w:t>DGFiP</w:t>
      </w:r>
      <w:proofErr w:type="spellEnd"/>
      <w:r>
        <w:rPr>
          <w:rFonts w:ascii="Times New Roman" w:hAnsi="Times New Roman" w:cs="Times New Roman"/>
          <w:sz w:val="24"/>
        </w:rPr>
        <w:t xml:space="preserve"> 19</w:t>
      </w:r>
      <w:r w:rsidRPr="009455E7">
        <w:rPr>
          <w:rFonts w:ascii="Times New Roman" w:hAnsi="Times New Roman" w:cs="Times New Roman"/>
          <w:sz w:val="24"/>
        </w:rPr>
        <w:t xml:space="preserve"> se réjouit du retour à un fonctionnement normal de cette instance.</w:t>
      </w:r>
    </w:p>
    <w:p w:rsidR="008D4E64" w:rsidRDefault="009455E7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Nous ne pouvons que nous féliciter de la note d’orientations ministérielle qui fixe le cadre de nos travaux pour l’année à venir. Nous l’avons lue avec la</w:t>
      </w:r>
      <w:r w:rsidR="007A6BC4">
        <w:rPr>
          <w:rFonts w:ascii="Times New Roman" w:hAnsi="Times New Roman" w:cs="Times New Roman"/>
          <w:sz w:val="24"/>
        </w:rPr>
        <w:t xml:space="preserve"> plus grande attention, et le ca</w:t>
      </w:r>
      <w:r>
        <w:rPr>
          <w:rFonts w:ascii="Times New Roman" w:hAnsi="Times New Roman" w:cs="Times New Roman"/>
          <w:sz w:val="24"/>
        </w:rPr>
        <w:t xml:space="preserve">dre qu’elle fixe est </w:t>
      </w:r>
      <w:r w:rsidR="00513DF8">
        <w:rPr>
          <w:rFonts w:ascii="Times New Roman" w:hAnsi="Times New Roman" w:cs="Times New Roman"/>
          <w:sz w:val="24"/>
        </w:rPr>
        <w:t xml:space="preserve">pour nous </w:t>
      </w:r>
      <w:r>
        <w:rPr>
          <w:rFonts w:ascii="Times New Roman" w:hAnsi="Times New Roman" w:cs="Times New Roman"/>
          <w:sz w:val="24"/>
        </w:rPr>
        <w:t xml:space="preserve">essentiel : </w:t>
      </w:r>
      <w:r w:rsidR="007A6BC4">
        <w:rPr>
          <w:rFonts w:ascii="Times New Roman" w:hAnsi="Times New Roman" w:cs="Times New Roman"/>
          <w:sz w:val="24"/>
        </w:rPr>
        <w:t xml:space="preserve">replacer le travail au cœur de la prévention. </w:t>
      </w:r>
    </w:p>
    <w:p w:rsidR="008D4E64" w:rsidRDefault="007A6BC4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C’est le cœur du rôle d’un CHS, cela n’a pas été fait en 2020, parce</w:t>
      </w:r>
      <w:r w:rsidR="008D4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que nous avons travaillé dans l’urgence, sur le risque de contamination, essentiellement pour préserver la santé de nos collègues, ce qui était nécessaire et urgent.  </w:t>
      </w:r>
    </w:p>
    <w:p w:rsidR="009455E7" w:rsidRDefault="007A6BC4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protection de la santé des agents passait par une nouvelle organisation des conditions matériel</w:t>
      </w:r>
      <w:r w:rsidR="008D4E64">
        <w:rPr>
          <w:rFonts w:ascii="Times New Roman" w:hAnsi="Times New Roman" w:cs="Times New Roman"/>
          <w:sz w:val="24"/>
        </w:rPr>
        <w:t>les de travail, séparations de b</w:t>
      </w:r>
      <w:r>
        <w:rPr>
          <w:rFonts w:ascii="Times New Roman" w:hAnsi="Times New Roman" w:cs="Times New Roman"/>
          <w:sz w:val="24"/>
        </w:rPr>
        <w:t xml:space="preserve">ric et de broc des collègues dans les bureaux, mise en télétravail à domicile, avec les moyens du bord, bien souvent table et </w:t>
      </w:r>
      <w:r w:rsidR="00513DF8">
        <w:rPr>
          <w:rFonts w:ascii="Times New Roman" w:hAnsi="Times New Roman" w:cs="Times New Roman"/>
          <w:sz w:val="24"/>
        </w:rPr>
        <w:t>chaise</w:t>
      </w:r>
      <w:r>
        <w:rPr>
          <w:rFonts w:ascii="Times New Roman" w:hAnsi="Times New Roman" w:cs="Times New Roman"/>
          <w:sz w:val="24"/>
        </w:rPr>
        <w:t xml:space="preserve"> de salle à manger</w:t>
      </w:r>
      <w:r w:rsidR="008D4E64">
        <w:rPr>
          <w:rFonts w:ascii="Times New Roman" w:hAnsi="Times New Roman" w:cs="Times New Roman"/>
          <w:sz w:val="24"/>
        </w:rPr>
        <w:t>, risques psycho-sociaux divers et variés, peur de la contamination pour ceux qui viennent travailler, isolement et perte de lien social pour les télétravailleurs… autant de risques sur lesquels nous devons</w:t>
      </w:r>
      <w:r w:rsidR="00242918">
        <w:rPr>
          <w:rFonts w:ascii="Times New Roman" w:hAnsi="Times New Roman" w:cs="Times New Roman"/>
          <w:sz w:val="24"/>
        </w:rPr>
        <w:t xml:space="preserve"> maintenant</w:t>
      </w:r>
      <w:r w:rsidR="008D4E64">
        <w:rPr>
          <w:rFonts w:ascii="Times New Roman" w:hAnsi="Times New Roman" w:cs="Times New Roman"/>
          <w:sz w:val="24"/>
        </w:rPr>
        <w:t xml:space="preserve"> nous pencher et travailler pour apporter des solutions à nos collègues si la situation actuelle doit durer longtemps. A défaut de faire ce travail, nous risquerions d’assister à un accroissement d’arrêt de travail pour TMS, dépressions…</w:t>
      </w:r>
    </w:p>
    <w:p w:rsidR="008D4E64" w:rsidRDefault="0016294F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Cette note d’</w:t>
      </w:r>
      <w:r w:rsidR="00242918">
        <w:rPr>
          <w:rFonts w:ascii="Times New Roman" w:hAnsi="Times New Roman" w:cs="Times New Roman"/>
          <w:sz w:val="24"/>
        </w:rPr>
        <w:t>orientation</w:t>
      </w:r>
      <w:r>
        <w:rPr>
          <w:rFonts w:ascii="Times New Roman" w:hAnsi="Times New Roman" w:cs="Times New Roman"/>
          <w:sz w:val="24"/>
        </w:rPr>
        <w:t xml:space="preserve"> se termine sur un autre point essentiel : la prise en compte des conditions de travail dans la conduite de projets. Cela faisait déjà l’objet de note 2019, et c’est un sujet essentiel.</w:t>
      </w:r>
      <w:r w:rsidR="0091618A">
        <w:rPr>
          <w:rFonts w:ascii="Times New Roman" w:hAnsi="Times New Roman" w:cs="Times New Roman"/>
          <w:sz w:val="24"/>
        </w:rPr>
        <w:t xml:space="preserve"> Nous avons un exemple récent de </w:t>
      </w:r>
      <w:r w:rsidR="000F3C01">
        <w:rPr>
          <w:rFonts w:ascii="Times New Roman" w:hAnsi="Times New Roman" w:cs="Times New Roman"/>
          <w:sz w:val="24"/>
        </w:rPr>
        <w:t>c</w:t>
      </w:r>
      <w:r w:rsidR="0091618A">
        <w:rPr>
          <w:rFonts w:ascii="Times New Roman" w:hAnsi="Times New Roman" w:cs="Times New Roman"/>
          <w:sz w:val="24"/>
        </w:rPr>
        <w:t xml:space="preserve">e qui ne doit pas être </w:t>
      </w:r>
      <w:r w:rsidR="00242918">
        <w:rPr>
          <w:rFonts w:ascii="Times New Roman" w:hAnsi="Times New Roman" w:cs="Times New Roman"/>
          <w:sz w:val="24"/>
        </w:rPr>
        <w:t xml:space="preserve">fait : </w:t>
      </w:r>
      <w:r w:rsidR="0091618A">
        <w:rPr>
          <w:rFonts w:ascii="Times New Roman" w:hAnsi="Times New Roman" w:cs="Times New Roman"/>
          <w:sz w:val="24"/>
        </w:rPr>
        <w:t>le réaménagement du CFIP de Brive, avec un projet « clé en mains », parfaitement inadapté, soumis au dernier moment aux collègues concernés</w:t>
      </w:r>
      <w:proofErr w:type="gramStart"/>
      <w:r w:rsidR="0091618A">
        <w:rPr>
          <w:rFonts w:ascii="Times New Roman" w:hAnsi="Times New Roman" w:cs="Times New Roman"/>
          <w:sz w:val="24"/>
        </w:rPr>
        <w:t>..</w:t>
      </w:r>
      <w:proofErr w:type="gramEnd"/>
      <w:r w:rsidR="0091618A">
        <w:rPr>
          <w:rFonts w:ascii="Times New Roman" w:hAnsi="Times New Roman" w:cs="Times New Roman"/>
          <w:sz w:val="24"/>
        </w:rPr>
        <w:t xml:space="preserve"> </w:t>
      </w:r>
      <w:r w:rsidR="00CE3BA9">
        <w:rPr>
          <w:rFonts w:ascii="Times New Roman" w:hAnsi="Times New Roman" w:cs="Times New Roman"/>
          <w:sz w:val="24"/>
        </w:rPr>
        <w:t xml:space="preserve">Il aura </w:t>
      </w:r>
      <w:r w:rsidR="0091618A">
        <w:rPr>
          <w:rFonts w:ascii="Times New Roman" w:hAnsi="Times New Roman" w:cs="Times New Roman"/>
          <w:sz w:val="24"/>
        </w:rPr>
        <w:t xml:space="preserve">fallu beaucoup de temps, des réunions d’instances parfois houleuses, pour arriver à un projet qui </w:t>
      </w:r>
      <w:r w:rsidR="00CE3BA9">
        <w:rPr>
          <w:rFonts w:ascii="Times New Roman" w:hAnsi="Times New Roman" w:cs="Times New Roman"/>
          <w:sz w:val="24"/>
        </w:rPr>
        <w:t>soit adapté aux conditions d’exercice des missions et emporte l’adhésion des agents concernés.</w:t>
      </w:r>
    </w:p>
    <w:p w:rsidR="0016294F" w:rsidRDefault="00CE3BA9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Nous ne voulons plus de ça !</w:t>
      </w:r>
    </w:p>
    <w:p w:rsidR="00CE3BA9" w:rsidRDefault="00CE3BA9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D’autres projets de réorganisations sont en cours.</w:t>
      </w:r>
    </w:p>
    <w:p w:rsidR="00CE3BA9" w:rsidRDefault="00CE3BA9" w:rsidP="0024291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nous faudra veiller collectivement au respect des préconisations du « guide pour la prise en compte des conditions de travail dans la conduite de projet », c'est-à-dire en priorité que les agents et chefs de services soient associés </w:t>
      </w:r>
      <w:r w:rsidR="00242918">
        <w:rPr>
          <w:rFonts w:ascii="Times New Roman" w:hAnsi="Times New Roman" w:cs="Times New Roman"/>
          <w:sz w:val="24"/>
        </w:rPr>
        <w:t>le plus en amont possible du projet. C’est eux qui connaissent le travail, et l’organisation matérielle la plus rationnelle pour l’accomplir.</w:t>
      </w:r>
    </w:p>
    <w:sectPr w:rsidR="00CE3BA9" w:rsidSect="00A8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455E7"/>
    <w:rsid w:val="000F3C01"/>
    <w:rsid w:val="0016294F"/>
    <w:rsid w:val="00242918"/>
    <w:rsid w:val="00513DF8"/>
    <w:rsid w:val="006360DD"/>
    <w:rsid w:val="007A6BC4"/>
    <w:rsid w:val="008D4E64"/>
    <w:rsid w:val="0091618A"/>
    <w:rsid w:val="009455E7"/>
    <w:rsid w:val="00A860B1"/>
    <w:rsid w:val="00CE3BA9"/>
    <w:rsid w:val="00EA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513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2021-03-03T20:19:00Z</dcterms:created>
  <dcterms:modified xsi:type="dcterms:W3CDTF">2021-03-03T20:19:00Z</dcterms:modified>
</cp:coreProperties>
</file>