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CE41C" w14:textId="77777777" w:rsidR="000233BA" w:rsidRDefault="00697AFD">
      <w:pPr>
        <w:jc w:val="both"/>
      </w:pPr>
      <w:r>
        <w:rPr>
          <w:noProof/>
        </w:rPr>
        <w:drawing>
          <wp:inline distT="0" distB="0" distL="0" distR="0" wp14:anchorId="3B51A654" wp14:editId="4666C89F">
            <wp:extent cx="1449070" cy="1559560"/>
            <wp:effectExtent l="0" t="0" r="0" b="0"/>
            <wp:docPr id="1" name="image1.jpg" descr="Logo UIAFP 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Logo UIAFP F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55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</w:p>
    <w:p w14:paraId="6A27CD5A" w14:textId="77777777" w:rsidR="000233BA" w:rsidRDefault="00697AFD">
      <w:r>
        <w:br w:type="column"/>
      </w:r>
    </w:p>
    <w:p w14:paraId="13FDE4F8" w14:textId="77777777" w:rsidR="000233BA" w:rsidRDefault="00697AFD">
      <w:r>
        <w:rPr>
          <w:noProof/>
        </w:rPr>
        <w:drawing>
          <wp:inline distT="0" distB="0" distL="0" distR="0" wp14:anchorId="702B4903" wp14:editId="479CDC58">
            <wp:extent cx="4137025" cy="1037590"/>
            <wp:effectExtent l="0" t="0" r="0" b="0"/>
            <wp:docPr id="2" name="image3.png" descr="HANDICAP écrit en majuscule et en ro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 descr="HANDICAP écrit en majuscule et en roug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025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5A775" w14:textId="77777777" w:rsidR="000233BA" w:rsidRDefault="000233BA"/>
    <w:p w14:paraId="2135F12C" w14:textId="77777777" w:rsidR="000233BA" w:rsidRDefault="000233BA">
      <w:pPr>
        <w:sectPr w:rsidR="000233BA">
          <w:footerReference w:type="default" r:id="rId11"/>
          <w:pgSz w:w="11906" w:h="16838"/>
          <w:pgMar w:top="709" w:right="1134" w:bottom="1134" w:left="1134" w:header="0" w:footer="590" w:gutter="0"/>
          <w:pgNumType w:start="1"/>
          <w:cols w:num="2" w:space="720" w:equalWidth="0">
            <w:col w:w="2268" w:space="850"/>
            <w:col w:w="6519"/>
          </w:cols>
          <w:formProt w:val="0"/>
          <w:docGrid w:linePitch="100" w:charSpace="4096"/>
        </w:sectPr>
      </w:pPr>
    </w:p>
    <w:p w14:paraId="2D71EB45" w14:textId="77777777" w:rsidR="000233BA" w:rsidRDefault="000233BA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065B7815" w14:textId="77777777" w:rsidR="000233BA" w:rsidRDefault="00697AFD">
      <w:pPr>
        <w:jc w:val="center"/>
        <w:rPr>
          <w:rFonts w:ascii="Arial" w:eastAsia="Arial" w:hAnsi="Arial" w:cs="Arial"/>
          <w:b/>
          <w:sz w:val="48"/>
          <w:szCs w:val="48"/>
        </w:rPr>
      </w:pPr>
      <w:proofErr w:type="spellStart"/>
      <w:r>
        <w:rPr>
          <w:rFonts w:ascii="Arial" w:eastAsia="Arial" w:hAnsi="Arial" w:cs="Arial"/>
          <w:b/>
          <w:sz w:val="48"/>
          <w:szCs w:val="48"/>
        </w:rPr>
        <w:t>InFOs</w:t>
      </w:r>
      <w:proofErr w:type="spellEnd"/>
      <w:r>
        <w:rPr>
          <w:rFonts w:ascii="Arial" w:eastAsia="Arial" w:hAnsi="Arial" w:cs="Arial"/>
          <w:b/>
          <w:sz w:val="48"/>
          <w:szCs w:val="48"/>
        </w:rPr>
        <w:t xml:space="preserve"> FIPHFP – 1</w:t>
      </w:r>
      <w:r>
        <w:rPr>
          <w:rFonts w:ascii="Arial" w:eastAsia="Arial" w:hAnsi="Arial" w:cs="Arial"/>
          <w:b/>
          <w:sz w:val="48"/>
          <w:szCs w:val="48"/>
          <w:vertAlign w:val="superscript"/>
        </w:rPr>
        <w:t>e</w:t>
      </w:r>
      <w:r>
        <w:rPr>
          <w:rFonts w:ascii="Arial" w:eastAsia="Arial" w:hAnsi="Arial" w:cs="Arial"/>
          <w:b/>
          <w:sz w:val="48"/>
          <w:szCs w:val="48"/>
        </w:rPr>
        <w:t xml:space="preserve"> semestre 2021</w:t>
      </w:r>
    </w:p>
    <w:p w14:paraId="7E1A7213" w14:textId="77777777" w:rsidR="000233BA" w:rsidRDefault="000233BA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14:paraId="579748CC" w14:textId="77777777" w:rsidR="000233BA" w:rsidRDefault="00697AFD">
      <w:pPr>
        <w:spacing w:after="0" w:line="276" w:lineRule="auto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Chaque semestre, l’UIAFP-FO (l’Union Interfédérale des Agents de la Fonction Publique FORCE OUVRIERE) vous informe sur ce qui se passe au FIPHFP (Fonds pour l’Insertion des Personnes Handicapées dans la Fonction Publique).</w:t>
      </w:r>
    </w:p>
    <w:p w14:paraId="61D0AABA" w14:textId="77777777" w:rsidR="000233BA" w:rsidRDefault="000233BA">
      <w:pPr>
        <w:spacing w:after="0" w:line="276" w:lineRule="auto"/>
        <w:jc w:val="both"/>
        <w:rPr>
          <w:rFonts w:ascii="Arial" w:eastAsia="Arial" w:hAnsi="Arial" w:cs="Arial"/>
          <w:sz w:val="32"/>
          <w:szCs w:val="32"/>
        </w:rPr>
      </w:pPr>
    </w:p>
    <w:p w14:paraId="1D327BA3" w14:textId="77777777" w:rsidR="000233BA" w:rsidRDefault="00697AFD">
      <w:pPr>
        <w:shd w:val="clear" w:color="auto" w:fill="00FF99"/>
        <w:spacing w:line="276" w:lineRule="auto"/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Comité national</w:t>
      </w:r>
    </w:p>
    <w:p w14:paraId="34BDDC6E" w14:textId="307FB05C" w:rsidR="000233BA" w:rsidRDefault="00697AFD">
      <w:pPr>
        <w:spacing w:after="0" w:line="276" w:lineRule="auto"/>
        <w:ind w:right="-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Le comité national s’est réuni plusieurs fois durant la période notamment sous forme de circularisation </w:t>
      </w:r>
      <w:r w:rsidR="002D4124">
        <w:rPr>
          <w:rFonts w:ascii="Arial" w:eastAsia="Arial" w:hAnsi="Arial" w:cs="Arial"/>
          <w:sz w:val="24"/>
          <w:szCs w:val="24"/>
        </w:rPr>
        <w:t xml:space="preserve">(par mails) </w:t>
      </w:r>
      <w:r>
        <w:rPr>
          <w:rFonts w:ascii="Arial" w:eastAsia="Arial" w:hAnsi="Arial" w:cs="Arial"/>
          <w:sz w:val="24"/>
          <w:szCs w:val="24"/>
        </w:rPr>
        <w:t>et à distance (visioconférence).</w:t>
      </w:r>
    </w:p>
    <w:p w14:paraId="72BE34FC" w14:textId="77777777" w:rsidR="000233BA" w:rsidRDefault="000233BA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6039D43" w14:textId="77777777" w:rsidR="000233BA" w:rsidRDefault="00697AFD">
      <w:pPr>
        <w:pStyle w:val="NormalWeb"/>
        <w:shd w:val="clear" w:color="auto" w:fill="FFFFFF"/>
        <w:spacing w:beforeAutospacing="0" w:after="120" w:afterAutospacing="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Selon </w:t>
      </w:r>
      <w:r>
        <w:rPr>
          <w:rFonts w:ascii="Arial" w:eastAsia="Arial" w:hAnsi="Arial" w:cs="Arial"/>
          <w:b/>
          <w:bCs/>
        </w:rPr>
        <w:t>le bilan de l’année 2020</w:t>
      </w:r>
      <w:r>
        <w:rPr>
          <w:rFonts w:ascii="Arial" w:eastAsia="Arial" w:hAnsi="Arial" w:cs="Arial"/>
        </w:rPr>
        <w:t xml:space="preserve">, l’activité du FIPHFP a été importante malgré la crise sanitaire : le taux d’emploi direct était de 5,58% dans la Fonction Publique </w:t>
      </w:r>
      <w:r>
        <w:rPr>
          <w:rFonts w:ascii="Arial" w:hAnsi="Arial" w:cs="Arial"/>
          <w:shd w:val="clear" w:color="auto" w:fill="FFFFFF"/>
        </w:rPr>
        <w:t xml:space="preserve">(4,67% FPE, 5,54% FPH, 6,70% FPT) </w:t>
      </w:r>
      <w:r>
        <w:rPr>
          <w:rFonts w:ascii="Arial" w:eastAsia="Arial" w:hAnsi="Arial" w:cs="Arial"/>
        </w:rPr>
        <w:t xml:space="preserve">avec 261 318 BOE recensés en 2020 contre 5,52% en 2019. </w:t>
      </w:r>
      <w:r>
        <w:rPr>
          <w:rFonts w:ascii="Arial" w:eastAsia="Arial" w:hAnsi="Arial" w:cs="Arial"/>
          <w:bCs/>
        </w:rPr>
        <w:t>Il y 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Cs/>
        </w:rPr>
        <w:t>eu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96 conventions employeurs, 260 000 aides individuelles, 5500 aides plateforme financées et 1200 apprentis aidés. </w:t>
      </w:r>
      <w:r>
        <w:rPr>
          <w:rFonts w:ascii="Arial" w:hAnsi="Arial" w:cs="Arial"/>
          <w:shd w:val="clear" w:color="auto" w:fill="FFFFFF"/>
        </w:rPr>
        <w:t>Si les recrutements ont augmenté par rapport à 2019 (32 000), le maintien dans l’emploi a baissé (14 000).</w:t>
      </w:r>
    </w:p>
    <w:p w14:paraId="53B4D49A" w14:textId="4ADB87F6" w:rsidR="000233BA" w:rsidRDefault="00697AFD">
      <w:pPr>
        <w:spacing w:after="12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D’un point de vue financier</w:t>
      </w:r>
      <w:r>
        <w:rPr>
          <w:rFonts w:ascii="Arial" w:eastAsia="Arial" w:hAnsi="Arial" w:cs="Arial"/>
          <w:bCs/>
          <w:sz w:val="24"/>
          <w:szCs w:val="24"/>
        </w:rPr>
        <w:t>,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les ressources du FIPHFP continuent de diminuer (divisées par 2 depuis 2010) et représentent 106 M€ en 2020 (contre 108,5 M€ en 2019) avec une répartition d’1/3 entre chaque versant de la Fonction Publique. Les ressources devraient augmenter à partir de l’année prochaine grâce à la contribution</w:t>
      </w:r>
      <w:r w:rsidR="002D4124">
        <w:rPr>
          <w:rFonts w:ascii="Arial" w:hAnsi="Arial" w:cs="Arial"/>
          <w:sz w:val="24"/>
          <w:szCs w:val="24"/>
          <w:shd w:val="clear" w:color="auto" w:fill="FFFFFF"/>
        </w:rPr>
        <w:t xml:space="preserve"> de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l’Education Nationale. Le FIPHFP est intervenu à hauteur de 95 M€ (contre 107 M€ en 2019). Les restes à recouvrer sur les exercices antérieurs s’élèvent à 9,63 millions d’euros au 31 décembre 2020. Le résultat pour l’exercice 2020 est légèrement excédentaire </w:t>
      </w:r>
      <w:r w:rsidR="002D4124">
        <w:rPr>
          <w:rFonts w:ascii="Arial" w:hAnsi="Arial" w:cs="Arial"/>
          <w:sz w:val="24"/>
          <w:szCs w:val="24"/>
          <w:shd w:val="clear" w:color="auto" w:fill="FFFFFF"/>
        </w:rPr>
        <w:t>(</w:t>
      </w:r>
      <w:r>
        <w:rPr>
          <w:rFonts w:ascii="Arial" w:hAnsi="Arial" w:cs="Arial"/>
          <w:sz w:val="24"/>
          <w:szCs w:val="24"/>
          <w:shd w:val="clear" w:color="auto" w:fill="FFFFFF"/>
        </w:rPr>
        <w:t>0,78 M€ contre - 9,7 M€ en 2019</w:t>
      </w:r>
      <w:r w:rsidR="002D4124">
        <w:rPr>
          <w:rFonts w:ascii="Arial" w:hAnsi="Arial" w:cs="Arial"/>
          <w:sz w:val="24"/>
          <w:szCs w:val="24"/>
          <w:shd w:val="clear" w:color="auto" w:fill="FFFFFF"/>
        </w:rPr>
        <w:t>)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>La capacité d’autofinancement du FIPHFP s’élève à -2 M€ (contre -22 M€ en 2019). Le fonds de roulement en est diminué d’autant et s’élève à 249 M€.</w:t>
      </w:r>
    </w:p>
    <w:p w14:paraId="5B4CF9CD" w14:textId="77777777" w:rsidR="000233BA" w:rsidRDefault="00697AFD">
      <w:pPr>
        <w:spacing w:after="12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Une politique renforcée de 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contrôles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(405) a été mise en place permettant pour l’année 2019 de recouvrer 9,3 M€ sur 11 M€. Pour 2020, il y a eu déjà </w:t>
      </w:r>
      <w:r>
        <w:rPr>
          <w:rFonts w:ascii="Arial" w:hAnsi="Arial" w:cs="Arial"/>
          <w:sz w:val="24"/>
        </w:rPr>
        <w:t>800 contrôles mettant d’ores et déjà en évidence une incidence financière de 16,3 M€.</w:t>
      </w:r>
    </w:p>
    <w:p w14:paraId="33180FDB" w14:textId="2FD8B972" w:rsidR="000233BA" w:rsidRDefault="00697AFD">
      <w:pPr>
        <w:spacing w:after="12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Un budget rectificatif (BR) pour 2021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a été adopté afin de prendre en compte </w:t>
      </w:r>
      <w:r>
        <w:rPr>
          <w:rFonts w:ascii="Arial" w:eastAsia="Times New Roman" w:hAnsi="Arial" w:cs="Arial"/>
          <w:color w:val="222222"/>
          <w:sz w:val="24"/>
          <w:shd w:val="clear" w:color="auto" w:fill="FFFFFF"/>
        </w:rPr>
        <w:t>des charges à payer relatives à la Convention d’Objectifs et de Gestion</w:t>
      </w:r>
      <w:r>
        <w:rPr>
          <w:rFonts w:ascii="Arial" w:eastAsia="Arial" w:hAnsi="Arial" w:cs="Arial"/>
          <w:sz w:val="24"/>
          <w:szCs w:val="24"/>
        </w:rPr>
        <w:t xml:space="preserve"> ainsi que des frais relatifs à la refonte du </w:t>
      </w:r>
      <w:r>
        <w:rPr>
          <w:rFonts w:ascii="Arial" w:eastAsia="Times New Roman" w:hAnsi="Arial" w:cs="Arial"/>
          <w:color w:val="222222"/>
          <w:sz w:val="24"/>
          <w:shd w:val="clear" w:color="auto" w:fill="FFFFFF"/>
        </w:rPr>
        <w:t>site internet du FIPHFP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222222"/>
          <w:sz w:val="24"/>
          <w:shd w:val="clear" w:color="auto" w:fill="FFFFFF"/>
        </w:rPr>
        <w:t>Le déficit du BR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hd w:val="clear" w:color="auto" w:fill="FFFFFF"/>
        </w:rPr>
        <w:t>est portée à 20,7 M€ contre 12,9</w:t>
      </w:r>
      <w:r w:rsidR="002D4124">
        <w:rPr>
          <w:rFonts w:ascii="Arial" w:eastAsia="Times New Roman" w:hAnsi="Arial" w:cs="Arial"/>
          <w:color w:val="222222"/>
          <w:sz w:val="24"/>
          <w:shd w:val="clear" w:color="auto" w:fill="FFFFFF"/>
        </w:rPr>
        <w:t xml:space="preserve"> M€</w:t>
      </w:r>
      <w:r>
        <w:rPr>
          <w:rFonts w:ascii="Arial" w:eastAsia="Times New Roman" w:hAnsi="Arial" w:cs="Arial"/>
          <w:color w:val="222222"/>
          <w:sz w:val="24"/>
          <w:shd w:val="clear" w:color="auto" w:fill="FFFFFF"/>
        </w:rPr>
        <w:t xml:space="preserve"> au BI.</w:t>
      </w:r>
    </w:p>
    <w:p w14:paraId="3D250AFE" w14:textId="77777777" w:rsidR="000233BA" w:rsidRDefault="00697AFD">
      <w:pPr>
        <w:spacing w:after="120" w:line="276" w:lineRule="auto"/>
        <w:jc w:val="both"/>
        <w:rPr>
          <w:rFonts w:ascii="Arial" w:hAnsi="Arial" w:cs="Arial"/>
          <w:sz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Les remises gracieuses</w:t>
      </w:r>
      <w:r>
        <w:rPr>
          <w:rFonts w:ascii="Arial" w:eastAsia="Arial" w:hAnsi="Arial" w:cs="Arial"/>
          <w:sz w:val="24"/>
          <w:szCs w:val="24"/>
        </w:rPr>
        <w:t xml:space="preserve"> ne sont plus présentées en Comité National. Désormais, elles sont étudiées par les </w:t>
      </w:r>
      <w:r>
        <w:rPr>
          <w:rFonts w:ascii="Arial" w:hAnsi="Arial" w:cs="Arial"/>
          <w:sz w:val="24"/>
        </w:rPr>
        <w:t>services comptables, les cabinets ministériels et le Conseil d’Etat en fonction du montant. Pour autant,</w:t>
      </w:r>
      <w:r>
        <w:rPr>
          <w:rFonts w:ascii="Arial" w:hAnsi="Arial" w:cs="Arial"/>
          <w:b/>
          <w:bCs/>
          <w:sz w:val="24"/>
        </w:rPr>
        <w:t xml:space="preserve"> des délais de paiement</w:t>
      </w:r>
      <w:r>
        <w:rPr>
          <w:rFonts w:ascii="Arial" w:hAnsi="Arial" w:cs="Arial"/>
          <w:sz w:val="24"/>
        </w:rPr>
        <w:t xml:space="preserve"> ont été accordés à certains hôpitaux ou communes localisés en DROM et </w:t>
      </w:r>
      <w:r>
        <w:rPr>
          <w:rFonts w:ascii="Arial" w:hAnsi="Arial" w:cs="Arial"/>
          <w:b/>
          <w:bCs/>
          <w:sz w:val="24"/>
        </w:rPr>
        <w:t>certains dossiers sont encore en litiges devant les tribunaux administratifs :</w:t>
      </w:r>
      <w:r>
        <w:rPr>
          <w:rFonts w:ascii="Arial" w:hAnsi="Arial" w:cs="Arial"/>
          <w:sz w:val="24"/>
        </w:rPr>
        <w:t xml:space="preserve"> essentiellement des hôpitaux de métropole. </w:t>
      </w:r>
    </w:p>
    <w:p w14:paraId="51238239" w14:textId="284F22FB" w:rsidR="000233BA" w:rsidRDefault="00697AFD">
      <w:pPr>
        <w:spacing w:after="12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Le comité national a examiné et adopté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une primo-convention </w:t>
      </w:r>
      <w:r>
        <w:rPr>
          <w:rFonts w:ascii="Arial" w:eastAsia="Arial" w:hAnsi="Arial" w:cs="Arial"/>
          <w:sz w:val="24"/>
          <w:szCs w:val="24"/>
        </w:rPr>
        <w:t>pour 2021-2023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relative au financement d’actions</w:t>
      </w:r>
      <w:r>
        <w:rPr>
          <w:rFonts w:ascii="Arial" w:eastAsia="Arial" w:hAnsi="Arial" w:cs="Arial"/>
          <w:sz w:val="24"/>
          <w:szCs w:val="24"/>
        </w:rPr>
        <w:t xml:space="preserve"> avec la collectivité des Abymes (en l’absence de comité local)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et une demande</w:t>
      </w:r>
      <w:r>
        <w:rPr>
          <w:rFonts w:ascii="Arial" w:eastAsia="Arial" w:hAnsi="Arial" w:cs="Arial"/>
          <w:b/>
          <w:sz w:val="24"/>
          <w:szCs w:val="24"/>
        </w:rPr>
        <w:t xml:space="preserve"> de renouvellement de convention </w:t>
      </w:r>
      <w:r>
        <w:rPr>
          <w:rFonts w:ascii="Arial" w:eastAsia="Arial" w:hAnsi="Arial" w:cs="Arial"/>
          <w:sz w:val="24"/>
          <w:szCs w:val="24"/>
        </w:rPr>
        <w:t>avec la Caisse des Dépôts et Consignation (CDC). Si le renouvellement de la convention avec la CDC n’a pas posé de problème particulier (taux d’emploi à 6%, participation de l’employeur supérieure à celle du FIPHFP, axes privilégiés sur le recrutement et le maintien dans l’emploi…), celle avec les Abymes n’a pas retenu notre adhésion (</w:t>
      </w:r>
      <w:r>
        <w:rPr>
          <w:rFonts w:ascii="Arial" w:eastAsia="Arial" w:hAnsi="Arial" w:cs="Arial"/>
          <w:b/>
          <w:bCs/>
          <w:color w:val="C00000"/>
          <w:sz w:val="24"/>
          <w:szCs w:val="24"/>
        </w:rPr>
        <w:t>FO s’est abstenu</w:t>
      </w:r>
      <w:r w:rsidR="002D4124">
        <w:rPr>
          <w:rFonts w:ascii="Arial" w:eastAsia="Arial" w:hAnsi="Arial" w:cs="Arial"/>
          <w:b/>
          <w:bCs/>
          <w:color w:val="C00000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). En effet, si nous saluons l’initiative (ce serait la 2</w:t>
      </w:r>
      <w:r>
        <w:rPr>
          <w:rFonts w:ascii="Arial" w:eastAsia="Arial" w:hAnsi="Arial" w:cs="Arial"/>
          <w:sz w:val="24"/>
          <w:szCs w:val="24"/>
          <w:vertAlign w:val="superscript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convention en Guadeloupe), l’augmentation du taux d’emploi de 3% à 6% semble difficilement atteignable et le recours à l’embauche de 300 saisonniers pour travailler dans les cantines scolaires et la répartition des financements (participation plus élevée du FIPHFP que des Abymes) sont des éléments rédhibitoires pour nous. </w:t>
      </w:r>
    </w:p>
    <w:p w14:paraId="5A479747" w14:textId="77777777" w:rsidR="000233BA" w:rsidRDefault="00697AFD">
      <w:pPr>
        <w:spacing w:after="12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3 conventions de partenariats</w:t>
      </w:r>
      <w:r>
        <w:rPr>
          <w:rFonts w:ascii="Arial" w:hAnsi="Arial" w:cs="Arial"/>
          <w:sz w:val="24"/>
        </w:rPr>
        <w:t xml:space="preserve"> ont été validées : avec </w:t>
      </w:r>
      <w:r>
        <w:rPr>
          <w:rFonts w:ascii="Arial" w:hAnsi="Arial" w:cs="Arial"/>
          <w:sz w:val="24"/>
          <w:shd w:val="clear" w:color="auto" w:fill="FFFFFF"/>
        </w:rPr>
        <w:t xml:space="preserve">l'EHESP (Ecole des hautes études en santé publique), la FAGERH (Fédération des centres de réadaptation professionnelle) et la </w:t>
      </w:r>
      <w:r>
        <w:rPr>
          <w:rFonts w:ascii="Arial" w:hAnsi="Arial" w:cs="Arial"/>
          <w:sz w:val="24"/>
        </w:rPr>
        <w:t>Chaire « Handicap, emploi et santé au travail » de l’UPEC (Créteil). Ces 3 organismes mettent en place des formations (notamment pour les référents handicap), publient des ouvrages, organisent des journées / colloques sur le handicap…</w:t>
      </w:r>
    </w:p>
    <w:p w14:paraId="07835F14" w14:textId="77777777" w:rsidR="000233BA" w:rsidRDefault="00697AFD">
      <w:pPr>
        <w:spacing w:after="120" w:line="276" w:lineRule="auto"/>
        <w:jc w:val="both"/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/>
          <w:sz w:val="24"/>
        </w:rPr>
        <w:t xml:space="preserve">La </w:t>
      </w:r>
      <w:r>
        <w:rPr>
          <w:rFonts w:ascii="Arial" w:hAnsi="Arial" w:cs="Arial"/>
          <w:b/>
          <w:bCs/>
          <w:sz w:val="24"/>
          <w:shd w:val="clear" w:color="auto" w:fill="FFFFFF"/>
        </w:rPr>
        <w:t xml:space="preserve">note </w:t>
      </w:r>
      <w:proofErr w:type="spellStart"/>
      <w:r>
        <w:rPr>
          <w:rFonts w:ascii="Arial" w:hAnsi="Arial" w:cs="Arial"/>
          <w:b/>
          <w:bCs/>
          <w:sz w:val="24"/>
          <w:shd w:val="clear" w:color="auto" w:fill="FFFFFF"/>
        </w:rPr>
        <w:t>Cheops</w:t>
      </w:r>
      <w:proofErr w:type="spellEnd"/>
      <w:r>
        <w:rPr>
          <w:rFonts w:ascii="Arial" w:hAnsi="Arial" w:cs="Arial"/>
          <w:b/>
          <w:bCs/>
          <w:sz w:val="24"/>
          <w:shd w:val="clear" w:color="auto" w:fill="FFFFFF"/>
        </w:rPr>
        <w:t>, Agefiph et FIPHFP sur le maintien dans l'emploi</w:t>
      </w:r>
      <w:r>
        <w:rPr>
          <w:rFonts w:ascii="Arial" w:hAnsi="Arial" w:cs="Arial"/>
          <w:sz w:val="24"/>
          <w:shd w:val="clear" w:color="auto" w:fill="FFFFFF"/>
        </w:rPr>
        <w:t xml:space="preserve"> tout comme </w:t>
      </w:r>
      <w:r>
        <w:rPr>
          <w:rFonts w:ascii="Arial" w:hAnsi="Arial" w:cs="Arial"/>
          <w:b/>
          <w:bCs/>
          <w:sz w:val="24"/>
          <w:shd w:val="clear" w:color="auto" w:fill="FFFFFF"/>
        </w:rPr>
        <w:t>la convention financière 2021 entre Pôle emploi, l’Agefiph et le FIPHFP</w:t>
      </w:r>
      <w:r>
        <w:rPr>
          <w:rFonts w:ascii="Arial" w:hAnsi="Arial" w:cs="Arial"/>
          <w:sz w:val="24"/>
          <w:shd w:val="clear" w:color="auto" w:fill="FFFFFF"/>
        </w:rPr>
        <w:t xml:space="preserve"> pour l’axe insertion des Cap emploi (convention </w:t>
      </w:r>
      <w:proofErr w:type="spellStart"/>
      <w:r>
        <w:rPr>
          <w:rFonts w:ascii="Arial" w:hAnsi="Arial" w:cs="Arial"/>
          <w:sz w:val="24"/>
          <w:shd w:val="clear" w:color="auto" w:fill="FFFFFF"/>
        </w:rPr>
        <w:t>quinquapartite</w:t>
      </w:r>
      <w:proofErr w:type="spellEnd"/>
      <w:r>
        <w:rPr>
          <w:rFonts w:ascii="Arial" w:hAnsi="Arial" w:cs="Arial"/>
          <w:sz w:val="24"/>
          <w:shd w:val="clear" w:color="auto" w:fill="FFFFFF"/>
        </w:rPr>
        <w:t xml:space="preserve">) et la </w:t>
      </w:r>
      <w:r>
        <w:rPr>
          <w:rFonts w:ascii="Arial" w:hAnsi="Arial" w:cs="Arial"/>
          <w:b/>
          <w:bCs/>
          <w:sz w:val="24"/>
        </w:rPr>
        <w:t xml:space="preserve">convention financière avec l’AGEFIPH (frais de gestion) </w:t>
      </w:r>
      <w:r>
        <w:rPr>
          <w:rFonts w:ascii="Arial" w:hAnsi="Arial" w:cs="Arial"/>
          <w:sz w:val="24"/>
          <w:shd w:val="clear" w:color="auto" w:fill="FFFFFF"/>
        </w:rPr>
        <w:t>ont été adoptées.</w:t>
      </w:r>
    </w:p>
    <w:p w14:paraId="55E34566" w14:textId="77777777" w:rsidR="000233BA" w:rsidRDefault="00697AFD">
      <w:pPr>
        <w:spacing w:after="0" w:line="276" w:lineRule="auto"/>
        <w:ind w:right="-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Une charte du conseil scientifique</w:t>
      </w:r>
      <w:r>
        <w:rPr>
          <w:rFonts w:ascii="Arial" w:hAnsi="Arial" w:cs="Arial"/>
          <w:sz w:val="24"/>
        </w:rPr>
        <w:t xml:space="preserve"> a été rédigée afin de cadrer et clarifier les missions de cet organe du FIPHFP.</w:t>
      </w:r>
    </w:p>
    <w:p w14:paraId="0AEA50AB" w14:textId="5BEA8E36" w:rsidR="000233BA" w:rsidRDefault="00CB7308">
      <w:pPr>
        <w:spacing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233ED93B" wp14:editId="028D11BE">
            <wp:extent cx="6120130" cy="3442335"/>
            <wp:effectExtent l="0" t="0" r="0" b="5715"/>
            <wp:docPr id="5" name="Image 5" descr="Carte des représentants FO au FIPHF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Carte des représentants FO au FIPHF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0F4E6" w14:textId="77777777" w:rsidR="00966A06" w:rsidRDefault="00966A06">
      <w:pPr>
        <w:spacing w:line="276" w:lineRule="auto"/>
        <w:rPr>
          <w:rFonts w:ascii="Arial" w:eastAsia="Arial" w:hAnsi="Arial" w:cs="Arial"/>
          <w:b/>
          <w:sz w:val="24"/>
          <w:szCs w:val="24"/>
        </w:rPr>
      </w:pPr>
    </w:p>
    <w:p w14:paraId="5A257833" w14:textId="77777777" w:rsidR="000233BA" w:rsidRDefault="00697AFD">
      <w:pPr>
        <w:shd w:val="clear" w:color="auto" w:fill="00FF99"/>
        <w:spacing w:line="276" w:lineRule="auto"/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lastRenderedPageBreak/>
        <w:t>Comités locaux</w:t>
      </w:r>
    </w:p>
    <w:p w14:paraId="6A8132B0" w14:textId="77777777" w:rsidR="000233BA" w:rsidRPr="00966A06" w:rsidRDefault="00697AFD" w:rsidP="00FA7887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966A06">
        <w:rPr>
          <w:rFonts w:ascii="Arial" w:eastAsia="Arial" w:hAnsi="Arial" w:cs="Arial"/>
          <w:sz w:val="24"/>
          <w:szCs w:val="24"/>
        </w:rPr>
        <w:t xml:space="preserve">Sur les 17 comités locaux (certains sont toujours en attente d’installation), voici l’activité du </w:t>
      </w:r>
    </w:p>
    <w:p w14:paraId="798274EF" w14:textId="162DDC9C" w:rsidR="000233BA" w:rsidRPr="00966A06" w:rsidRDefault="00697AFD" w:rsidP="00FA7887">
      <w:pPr>
        <w:spacing w:after="0" w:line="276" w:lineRule="auto"/>
        <w:jc w:val="both"/>
        <w:rPr>
          <w:rFonts w:ascii="Arial" w:hAnsi="Arial"/>
          <w:sz w:val="24"/>
          <w:szCs w:val="24"/>
        </w:rPr>
      </w:pPr>
      <w:proofErr w:type="gramStart"/>
      <w:r w:rsidRPr="00966A06">
        <w:rPr>
          <w:rFonts w:ascii="Arial" w:eastAsia="Arial" w:hAnsi="Arial" w:cs="Arial"/>
          <w:b/>
          <w:sz w:val="24"/>
          <w:szCs w:val="24"/>
          <w:u w:val="single"/>
        </w:rPr>
        <w:t>comité</w:t>
      </w:r>
      <w:proofErr w:type="gramEnd"/>
      <w:r w:rsidRPr="00966A06">
        <w:rPr>
          <w:rFonts w:ascii="Arial" w:eastAsia="Arial" w:hAnsi="Arial" w:cs="Arial"/>
          <w:b/>
          <w:sz w:val="24"/>
          <w:szCs w:val="24"/>
          <w:u w:val="single"/>
        </w:rPr>
        <w:t xml:space="preserve"> local d’Ile de France</w:t>
      </w:r>
      <w:r w:rsidRPr="00966A06">
        <w:rPr>
          <w:rFonts w:ascii="Arial" w:eastAsia="Arial" w:hAnsi="Arial" w:cs="Arial"/>
          <w:sz w:val="24"/>
          <w:szCs w:val="24"/>
        </w:rPr>
        <w:t xml:space="preserve"> qui s’est réuni le </w:t>
      </w:r>
      <w:r w:rsidRPr="00966A06">
        <w:rPr>
          <w:rFonts w:ascii="Arial" w:hAnsi="Arial"/>
          <w:sz w:val="24"/>
          <w:szCs w:val="24"/>
        </w:rPr>
        <w:t>13 février 2020 et a étudié 2 renouvellements de conventionnements (toutes adoptées) :</w:t>
      </w:r>
      <w:r w:rsidR="00966A06" w:rsidRPr="00966A06">
        <w:rPr>
          <w:rFonts w:ascii="Arial" w:hAnsi="Arial"/>
          <w:sz w:val="24"/>
          <w:szCs w:val="24"/>
        </w:rPr>
        <w:t xml:space="preserve"> </w:t>
      </w:r>
    </w:p>
    <w:p w14:paraId="1CCCDD5A" w14:textId="1D3BA3BC" w:rsidR="000233BA" w:rsidRPr="00FA7887" w:rsidRDefault="00966A06" w:rsidP="00FA7887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  <w:color w:val="FF0000"/>
          <w:sz w:val="20"/>
          <w:szCs w:val="20"/>
        </w:rPr>
      </w:pPr>
      <w:r w:rsidRPr="00FA7887">
        <w:rPr>
          <w:rFonts w:ascii="Arial" w:eastAsia="Arial" w:hAnsi="Arial" w:cs="Arial"/>
          <w:b/>
          <w:bCs/>
          <w:sz w:val="24"/>
          <w:szCs w:val="24"/>
        </w:rPr>
        <w:t>La ville de Gennevilliers et du CCAS</w:t>
      </w:r>
      <w:r w:rsidRPr="00966A06">
        <w:rPr>
          <w:rFonts w:ascii="Arial" w:eastAsia="Arial" w:hAnsi="Arial" w:cs="Arial"/>
          <w:sz w:val="24"/>
          <w:szCs w:val="24"/>
        </w:rPr>
        <w:t xml:space="preserve"> (Centre Communal d’Action Sociale) pour 2021-2023. Elle compte 1764 agents dont 116 Bénéficiaires de l’Obligation d’Emploi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FA7887">
        <w:rPr>
          <w:rFonts w:ascii="Arial" w:eastAsia="Arial" w:hAnsi="Arial" w:cs="Arial"/>
          <w:sz w:val="24"/>
          <w:szCs w:val="24"/>
        </w:rPr>
        <w:t xml:space="preserve">(BOE) </w:t>
      </w:r>
      <w:r>
        <w:rPr>
          <w:rFonts w:ascii="Arial" w:eastAsia="Arial" w:hAnsi="Arial" w:cs="Arial"/>
          <w:sz w:val="24"/>
          <w:szCs w:val="24"/>
        </w:rPr>
        <w:t>(6,58%)</w:t>
      </w:r>
      <w:r w:rsidRPr="00966A06">
        <w:rPr>
          <w:rFonts w:ascii="Arial" w:eastAsia="Arial" w:hAnsi="Arial" w:cs="Arial"/>
          <w:sz w:val="24"/>
          <w:szCs w:val="24"/>
        </w:rPr>
        <w:t xml:space="preserve">. Elle envisage de développer l’apprentissage, le recrutement d’agents en situation de handicap et sa démarche </w:t>
      </w:r>
      <w:proofErr w:type="spellStart"/>
      <w:r w:rsidRPr="00966A06">
        <w:rPr>
          <w:rFonts w:ascii="Arial" w:eastAsia="Arial" w:hAnsi="Arial" w:cs="Arial"/>
          <w:sz w:val="24"/>
          <w:szCs w:val="24"/>
        </w:rPr>
        <w:t>handi</w:t>
      </w:r>
      <w:proofErr w:type="spellEnd"/>
      <w:r w:rsidRPr="00966A06">
        <w:rPr>
          <w:rFonts w:ascii="Arial" w:eastAsia="Arial" w:hAnsi="Arial" w:cs="Arial"/>
          <w:sz w:val="24"/>
          <w:szCs w:val="24"/>
        </w:rPr>
        <w:t>-accueillante</w:t>
      </w:r>
      <w:r>
        <w:rPr>
          <w:rFonts w:ascii="Arial" w:eastAsia="Arial" w:hAnsi="Arial" w:cs="Arial"/>
          <w:sz w:val="24"/>
          <w:szCs w:val="24"/>
        </w:rPr>
        <w:t xml:space="preserve"> en participant à hauteur de 60% du financement global</w:t>
      </w:r>
      <w:r w:rsidRPr="00966A06"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 xml:space="preserve">L’aspect « compensation du handicap » reste </w:t>
      </w:r>
      <w:r w:rsidR="00FA7887">
        <w:rPr>
          <w:rFonts w:ascii="Arial" w:eastAsia="Arial" w:hAnsi="Arial" w:cs="Arial"/>
          <w:sz w:val="24"/>
          <w:szCs w:val="24"/>
        </w:rPr>
        <w:t xml:space="preserve">tout de même </w:t>
      </w:r>
      <w:r>
        <w:rPr>
          <w:rFonts w:ascii="Arial" w:eastAsia="Arial" w:hAnsi="Arial" w:cs="Arial"/>
          <w:sz w:val="24"/>
          <w:szCs w:val="24"/>
        </w:rPr>
        <w:t>à consolider</w:t>
      </w:r>
      <w:r w:rsidR="00FA7887">
        <w:rPr>
          <w:rFonts w:ascii="Arial" w:eastAsia="Arial" w:hAnsi="Arial" w:cs="Arial"/>
          <w:sz w:val="24"/>
          <w:szCs w:val="24"/>
        </w:rPr>
        <w:t>.</w:t>
      </w:r>
    </w:p>
    <w:p w14:paraId="7564031C" w14:textId="40BC2B03" w:rsidR="000233BA" w:rsidRPr="00FA7887" w:rsidRDefault="00FA7887" w:rsidP="00FA7887">
      <w:pPr>
        <w:pStyle w:val="Paragraphedeliste"/>
        <w:numPr>
          <w:ilvl w:val="0"/>
          <w:numId w:val="1"/>
        </w:numPr>
        <w:spacing w:before="120" w:after="0" w:line="276" w:lineRule="auto"/>
        <w:jc w:val="both"/>
        <w:rPr>
          <w:u w:val="single"/>
        </w:rPr>
      </w:pPr>
      <w:r w:rsidRPr="00FA7887">
        <w:rPr>
          <w:rFonts w:ascii="Arial" w:eastAsia="Arial" w:hAnsi="Arial" w:cs="Arial"/>
          <w:b/>
          <w:bCs/>
          <w:sz w:val="24"/>
          <w:szCs w:val="24"/>
        </w:rPr>
        <w:t>Le Conseil Départemental 94</w:t>
      </w:r>
      <w:r w:rsidRPr="00FA7887">
        <w:rPr>
          <w:rFonts w:ascii="Arial" w:eastAsia="Arial" w:hAnsi="Arial" w:cs="Arial"/>
          <w:sz w:val="24"/>
          <w:szCs w:val="24"/>
        </w:rPr>
        <w:t xml:space="preserve"> pour 2021-2023. Il compte 7454 agents et a un taux de BOE de 10,42% (2 fois plus qu’en 2008 lors de la primo-convention). Il envisage de poursuivre sa politique de recrutement (30 agents et 10 apprentis), de renforcer la formation (notamment pour des reconversions professionnelles, des reclassements…) en participant à hauteur de 61% du financement global.  La politique exemplaire de ce CD, à l’image du taux d’emploi direct, a reçu un vote unanime.</w:t>
      </w:r>
    </w:p>
    <w:p w14:paraId="0DCAE0EB" w14:textId="77777777" w:rsidR="00FA7887" w:rsidRPr="00FA7887" w:rsidRDefault="00FA7887" w:rsidP="00FA7887">
      <w:pPr>
        <w:spacing w:before="120" w:after="0" w:line="276" w:lineRule="auto"/>
        <w:jc w:val="both"/>
        <w:rPr>
          <w:u w:val="single"/>
        </w:rPr>
      </w:pPr>
    </w:p>
    <w:p w14:paraId="18D82EC7" w14:textId="77777777" w:rsidR="000233BA" w:rsidRDefault="00697AFD">
      <w:pPr>
        <w:shd w:val="clear" w:color="auto" w:fill="00FF99"/>
        <w:spacing w:line="276" w:lineRule="auto"/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 xml:space="preserve">Actualités </w:t>
      </w:r>
    </w:p>
    <w:p w14:paraId="38874775" w14:textId="77777777" w:rsidR="000233BA" w:rsidRDefault="00697AFD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>Ce qui change sur la période pour les agents en situation de handicap dans la fonction publique 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38CD3210" w14:textId="77777777" w:rsidR="000233BA" w:rsidRDefault="000233BA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3306727F" w14:textId="77777777" w:rsidR="000233BA" w:rsidRDefault="00697AFD">
      <w:pPr>
        <w:spacing w:after="0"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Depuis le 1</w:t>
      </w:r>
      <w:r>
        <w:rPr>
          <w:rFonts w:ascii="Arial" w:eastAsia="Arial" w:hAnsi="Arial" w:cs="Arial"/>
          <w:b/>
          <w:bCs/>
          <w:sz w:val="24"/>
          <w:szCs w:val="24"/>
          <w:vertAlign w:val="superscript"/>
        </w:rPr>
        <w:t>er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janvier 2021, </w:t>
      </w:r>
      <w:hyperlink r:id="rId13">
        <w:r>
          <w:rPr>
            <w:rStyle w:val="LienInternet"/>
            <w:rFonts w:ascii="Arial" w:eastAsia="Arial" w:hAnsi="Arial" w:cs="Arial"/>
            <w:b/>
            <w:bCs/>
            <w:sz w:val="24"/>
            <w:szCs w:val="24"/>
          </w:rPr>
          <w:t>les aides auditives sont prises en charge à 100%</w:t>
        </w:r>
      </w:hyperlink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selon l’offre 100% Santé.</w:t>
      </w:r>
    </w:p>
    <w:p w14:paraId="19632E15" w14:textId="77777777" w:rsidR="000233BA" w:rsidRDefault="000233BA">
      <w:pPr>
        <w:spacing w:after="0"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0CEB9B19" w14:textId="1B630CE1" w:rsidR="000233BA" w:rsidRDefault="00697AFD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2 mars 2021</w:t>
      </w:r>
      <w:r>
        <w:rPr>
          <w:rFonts w:ascii="Arial" w:eastAsia="Arial" w:hAnsi="Arial" w:cs="Arial"/>
          <w:sz w:val="24"/>
          <w:szCs w:val="24"/>
        </w:rPr>
        <w:t xml:space="preserve">, </w:t>
      </w:r>
      <w:hyperlink r:id="rId14">
        <w:r>
          <w:rPr>
            <w:rStyle w:val="LienInternet"/>
            <w:rFonts w:ascii="Arial" w:eastAsia="Arial" w:hAnsi="Arial" w:cs="Arial"/>
            <w:sz w:val="24"/>
            <w:szCs w:val="24"/>
          </w:rPr>
          <w:t>la nomination de Valérie PUJOL</w:t>
        </w:r>
      </w:hyperlink>
      <w:r>
        <w:rPr>
          <w:rFonts w:ascii="Arial" w:eastAsia="Arial" w:hAnsi="Arial" w:cs="Arial"/>
          <w:sz w:val="24"/>
          <w:szCs w:val="24"/>
        </w:rPr>
        <w:t xml:space="preserve"> comme représentante FO suppléante au comité national du FIPHFP est devenue officielle. Nous profitons de cette note semestrielle pour remercier chaleureusement son prédécesseur Jean-Philippe BOY</w:t>
      </w:r>
      <w:r w:rsidR="00E705C2">
        <w:rPr>
          <w:rFonts w:ascii="Arial" w:eastAsia="Arial" w:hAnsi="Arial" w:cs="Arial"/>
          <w:caps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 xml:space="preserve"> pour son investissement.</w:t>
      </w:r>
    </w:p>
    <w:p w14:paraId="45A9BBCA" w14:textId="77777777" w:rsidR="000233BA" w:rsidRDefault="000233BA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1B960695" w14:textId="11E4CE6D" w:rsidR="000233BA" w:rsidRDefault="00697AFD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</w:rPr>
        <w:t xml:space="preserve">Le 1er avril 2021, </w:t>
      </w:r>
      <w:hyperlink r:id="rId15">
        <w:r>
          <w:rPr>
            <w:rStyle w:val="LienInternet"/>
            <w:rFonts w:ascii="Arial" w:eastAsia="Arial" w:hAnsi="Arial" w:cs="Arial"/>
            <w:b/>
            <w:sz w:val="24"/>
            <w:szCs w:val="24"/>
          </w:rPr>
          <w:t>l’Allocation Adulte Handicapé (AAH) a été revalorisée</w:t>
        </w:r>
      </w:hyperlink>
      <w:r>
        <w:rPr>
          <w:rFonts w:ascii="Arial" w:eastAsia="Arial" w:hAnsi="Arial" w:cs="Arial"/>
          <w:b/>
          <w:sz w:val="24"/>
          <w:szCs w:val="24"/>
        </w:rPr>
        <w:t xml:space="preserve"> : </w:t>
      </w:r>
      <w:r>
        <w:rPr>
          <w:rFonts w:ascii="Arial" w:eastAsia="Arial" w:hAnsi="Arial" w:cs="Arial"/>
          <w:sz w:val="24"/>
          <w:szCs w:val="24"/>
        </w:rPr>
        <w:t>elle a augmenté de 90cts soit à taux plein 903,6€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. </w:t>
      </w:r>
      <w:r>
        <w:rPr>
          <w:rFonts w:ascii="Arial" w:eastAsia="Arial" w:hAnsi="Arial" w:cs="Arial"/>
          <w:b/>
          <w:bCs/>
          <w:color w:val="C00000"/>
          <w:sz w:val="24"/>
          <w:szCs w:val="24"/>
          <w:highlight w:val="white"/>
        </w:rPr>
        <w:t>FORCE OUVRIERE revendique que le montant de l’AAH soit porté à hauteur du SMIC.</w:t>
      </w:r>
    </w:p>
    <w:p w14:paraId="65873F91" w14:textId="77777777" w:rsidR="000233BA" w:rsidRDefault="000233BA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109E9BC9" w14:textId="77777777" w:rsidR="000233BA" w:rsidRDefault="00697AFD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b/>
          <w:bCs/>
          <w:sz w:val="24"/>
          <w:szCs w:val="24"/>
          <w:highlight w:val="white"/>
        </w:rPr>
        <w:t>Le 4 avril 2021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, le </w:t>
      </w:r>
      <w:hyperlink r:id="rId16">
        <w:r>
          <w:rPr>
            <w:rStyle w:val="LienInternet"/>
            <w:rFonts w:ascii="Arial" w:eastAsia="Arial" w:hAnsi="Arial" w:cs="Arial"/>
            <w:b/>
            <w:bCs/>
            <w:i/>
            <w:iCs/>
            <w:sz w:val="24"/>
            <w:szCs w:val="24"/>
            <w:highlight w:val="white"/>
          </w:rPr>
          <w:t>Décret n°2021-391 du 2 avril 2021 relatif au certificat médical joint à une demande déposée auprès d’une maison départementale des personnes handicapées</w:t>
        </w:r>
      </w:hyperlink>
      <w:r>
        <w:rPr>
          <w:rFonts w:ascii="Arial" w:eastAsia="Arial" w:hAnsi="Arial" w:cs="Arial"/>
          <w:sz w:val="24"/>
          <w:szCs w:val="24"/>
          <w:highlight w:val="white"/>
        </w:rPr>
        <w:t xml:space="preserve"> est paru au JO. Désormais, la durée de validité du certificat médical (nécessaire pour faire des demandes de prestations ou de droits) passe de 6 mois à un an compte tenu de la durée parfois longue de l’instruction de la demande.</w:t>
      </w:r>
    </w:p>
    <w:p w14:paraId="2FCB1608" w14:textId="77777777" w:rsidR="000233BA" w:rsidRDefault="000233BA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1D190A99" w14:textId="77777777" w:rsidR="000233BA" w:rsidRDefault="00697AFD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b/>
          <w:bCs/>
          <w:sz w:val="24"/>
          <w:szCs w:val="24"/>
          <w:highlight w:val="white"/>
        </w:rPr>
        <w:t xml:space="preserve">Le 7 avril, 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le FIPHFP a lancé sa </w:t>
      </w:r>
      <w:hyperlink r:id="rId17">
        <w:r>
          <w:rPr>
            <w:rStyle w:val="LienInternet"/>
            <w:rFonts w:ascii="Arial" w:eastAsia="Arial" w:hAnsi="Arial" w:cs="Arial"/>
            <w:b/>
            <w:bCs/>
            <w:sz w:val="24"/>
            <w:szCs w:val="24"/>
            <w:highlight w:val="white"/>
          </w:rPr>
          <w:t>3</w:t>
        </w:r>
        <w:r>
          <w:rPr>
            <w:rStyle w:val="LienInternet"/>
            <w:rFonts w:ascii="Arial" w:eastAsia="Arial" w:hAnsi="Arial" w:cs="Arial"/>
            <w:b/>
            <w:bCs/>
            <w:sz w:val="24"/>
            <w:szCs w:val="24"/>
            <w:highlight w:val="white"/>
            <w:vertAlign w:val="superscript"/>
          </w:rPr>
          <w:t>e</w:t>
        </w:r>
        <w:r>
          <w:rPr>
            <w:rStyle w:val="LienInternet"/>
            <w:rFonts w:ascii="Arial" w:eastAsia="Arial" w:hAnsi="Arial" w:cs="Arial"/>
            <w:b/>
            <w:bCs/>
            <w:sz w:val="24"/>
            <w:szCs w:val="24"/>
            <w:highlight w:val="white"/>
          </w:rPr>
          <w:t xml:space="preserve"> génération d’Handi-Pacte</w:t>
        </w:r>
      </w:hyperlink>
      <w:r>
        <w:rPr>
          <w:rFonts w:ascii="Arial" w:eastAsia="Arial" w:hAnsi="Arial" w:cs="Arial"/>
          <w:sz w:val="24"/>
          <w:szCs w:val="24"/>
          <w:highlight w:val="white"/>
        </w:rPr>
        <w:t xml:space="preserve">. Cet outil permet, en régions, </w:t>
      </w:r>
      <w:r>
        <w:rPr>
          <w:rFonts w:ascii="Arial" w:eastAsia="Times New Roman" w:hAnsi="Arial" w:cs="Arial"/>
          <w:sz w:val="24"/>
          <w:szCs w:val="24"/>
        </w:rPr>
        <w:t>de développer des partenariats, de mutualiser les ressources, d’impulser des actions concertées…</w:t>
      </w:r>
    </w:p>
    <w:p w14:paraId="64B85351" w14:textId="77777777" w:rsidR="000233BA" w:rsidRDefault="000233BA">
      <w:pPr>
        <w:spacing w:after="0" w:line="276" w:lineRule="auto"/>
        <w:jc w:val="both"/>
        <w:rPr>
          <w:rFonts w:ascii="Arial" w:eastAsia="Arial" w:hAnsi="Arial" w:cs="Arial"/>
          <w:b/>
          <w:bCs/>
          <w:sz w:val="24"/>
          <w:szCs w:val="24"/>
          <w:highlight w:val="white"/>
        </w:rPr>
      </w:pPr>
    </w:p>
    <w:p w14:paraId="0E612C10" w14:textId="77777777" w:rsidR="000233BA" w:rsidRDefault="00697AFD">
      <w:pPr>
        <w:spacing w:after="0" w:line="276" w:lineRule="auto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b/>
          <w:bCs/>
          <w:sz w:val="24"/>
          <w:szCs w:val="24"/>
          <w:highlight w:val="white"/>
        </w:rPr>
        <w:lastRenderedPageBreak/>
        <w:t>Le 10 avril 2021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, le FIPHFP a </w:t>
      </w:r>
      <w:hyperlink r:id="rId18">
        <w:r>
          <w:rPr>
            <w:rStyle w:val="LienInternet"/>
            <w:rFonts w:ascii="Arial" w:eastAsia="Arial" w:hAnsi="Arial" w:cs="Arial"/>
            <w:b/>
            <w:bCs/>
            <w:sz w:val="24"/>
            <w:szCs w:val="24"/>
            <w:highlight w:val="white"/>
          </w:rPr>
          <w:t>mis à jour son catalogue d’interventions</w:t>
        </w:r>
      </w:hyperlink>
      <w:r>
        <w:rPr>
          <w:rFonts w:ascii="Arial" w:eastAsia="Arial" w:hAnsi="Arial" w:cs="Arial"/>
          <w:sz w:val="24"/>
          <w:szCs w:val="24"/>
          <w:highlight w:val="white"/>
        </w:rPr>
        <w:t> effectives à compter du 1</w:t>
      </w:r>
      <w:r>
        <w:rPr>
          <w:rFonts w:ascii="Arial" w:eastAsia="Arial" w:hAnsi="Arial" w:cs="Arial"/>
          <w:sz w:val="24"/>
          <w:szCs w:val="24"/>
          <w:highlight w:val="white"/>
          <w:vertAlign w:val="superscript"/>
        </w:rPr>
        <w:t>er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janvier 2022 : les aides relatives aux déplacements, à la formation et au travail à distance ont été modifiées ou clarifiées. </w:t>
      </w:r>
      <w:r>
        <w:rPr>
          <w:rFonts w:ascii="Arial" w:eastAsia="Arial" w:hAnsi="Arial" w:cs="Arial"/>
          <w:b/>
          <w:bCs/>
          <w:sz w:val="24"/>
          <w:szCs w:val="24"/>
          <w:highlight w:val="white"/>
        </w:rPr>
        <w:t>Hors catalogue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hd w:val="clear" w:color="auto" w:fill="FFFFFF"/>
        </w:rPr>
        <w:t>'aide exceptionnelle pour les masques inclusifs</w:t>
      </w:r>
      <w:r>
        <w:rPr>
          <w:rFonts w:ascii="Arial" w:hAnsi="Arial" w:cs="Arial"/>
          <w:b/>
          <w:bCs/>
          <w:color w:val="000000"/>
          <w:sz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hd w:val="clear" w:color="auto" w:fill="FFFFFF"/>
        </w:rPr>
        <w:t>a été prolongée au moins jusqu’au 30 juin 2021 :</w:t>
      </w:r>
      <w:r>
        <w:rPr>
          <w:rFonts w:ascii="Arial" w:hAnsi="Arial" w:cs="Arial"/>
          <w:b/>
          <w:bCs/>
          <w:color w:val="000000"/>
          <w:sz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hd w:val="clear" w:color="auto" w:fill="FFFFFF"/>
        </w:rPr>
        <w:t>à partir de 3€ financé par l'employeur, le FIPHFP finance 5€ maximum par masque.</w:t>
      </w:r>
    </w:p>
    <w:p w14:paraId="40E408ED" w14:textId="77777777" w:rsidR="000233BA" w:rsidRDefault="000233BA">
      <w:pPr>
        <w:spacing w:after="0" w:line="276" w:lineRule="auto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</w:p>
    <w:p w14:paraId="07373EE6" w14:textId="42048BAB" w:rsidR="000233BA" w:rsidRDefault="00697AFD">
      <w:pPr>
        <w:spacing w:after="0" w:line="276" w:lineRule="auto"/>
        <w:jc w:val="both"/>
        <w:rPr>
          <w:rFonts w:ascii="Arial" w:hAnsi="Arial" w:cs="Arial"/>
          <w:b/>
          <w:bCs/>
          <w:color w:val="C00000"/>
          <w:sz w:val="24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Le 17 juin 2021</w:t>
      </w:r>
      <w:r>
        <w:rPr>
          <w:rFonts w:ascii="Arial" w:hAnsi="Arial" w:cs="Arial"/>
          <w:color w:val="000000"/>
          <w:sz w:val="24"/>
          <w:shd w:val="clear" w:color="auto" w:fill="FFFFFF"/>
        </w:rPr>
        <w:t xml:space="preserve">, le gouvernement imposait </w:t>
      </w:r>
      <w:hyperlink r:id="rId19">
        <w:r>
          <w:rPr>
            <w:rStyle w:val="LienInternet"/>
            <w:rFonts w:ascii="Arial" w:hAnsi="Arial" w:cs="Arial"/>
            <w:b/>
            <w:bCs/>
            <w:sz w:val="24"/>
            <w:shd w:val="clear" w:color="auto" w:fill="FFFFFF"/>
          </w:rPr>
          <w:t xml:space="preserve">un vote bloqué concernant la mesure visant à </w:t>
        </w:r>
        <w:proofErr w:type="spellStart"/>
        <w:r>
          <w:rPr>
            <w:rStyle w:val="LienInternet"/>
            <w:rFonts w:ascii="Arial" w:hAnsi="Arial" w:cs="Arial"/>
            <w:b/>
            <w:bCs/>
            <w:sz w:val="24"/>
            <w:shd w:val="clear" w:color="auto" w:fill="FFFFFF"/>
          </w:rPr>
          <w:t>déconjugaliser</w:t>
        </w:r>
        <w:proofErr w:type="spellEnd"/>
        <w:r>
          <w:rPr>
            <w:rStyle w:val="LienInternet"/>
            <w:rFonts w:ascii="Arial" w:hAnsi="Arial" w:cs="Arial"/>
            <w:b/>
            <w:bCs/>
            <w:sz w:val="24"/>
            <w:shd w:val="clear" w:color="auto" w:fill="FFFFFF"/>
          </w:rPr>
          <w:t xml:space="preserve"> les revenus du conjoint et de la personne en situation de handicap concernant le mode de calcul de l’AAH</w:t>
        </w:r>
      </w:hyperlink>
      <w:r>
        <w:rPr>
          <w:rFonts w:ascii="Arial" w:hAnsi="Arial" w:cs="Arial"/>
          <w:color w:val="000000"/>
          <w:sz w:val="24"/>
          <w:shd w:val="clear" w:color="auto" w:fill="FFFFFF"/>
        </w:rPr>
        <w:t xml:space="preserve">. Par ce procédé, il impose le vote sur un texte avec les seuls amendements proposés ou acceptés par lui. Pour rappel, en février 2020, l’Assemblée </w:t>
      </w:r>
      <w:proofErr w:type="gramStart"/>
      <w:r>
        <w:rPr>
          <w:rFonts w:ascii="Arial" w:hAnsi="Arial" w:cs="Arial"/>
          <w:color w:val="000000"/>
          <w:sz w:val="24"/>
          <w:shd w:val="clear" w:color="auto" w:fill="FFFFFF"/>
        </w:rPr>
        <w:t>Nationale</w:t>
      </w:r>
      <w:proofErr w:type="gramEnd"/>
      <w:r>
        <w:rPr>
          <w:rFonts w:ascii="Arial" w:hAnsi="Arial" w:cs="Arial"/>
          <w:color w:val="000000"/>
          <w:sz w:val="24"/>
          <w:shd w:val="clear" w:color="auto" w:fill="FFFFFF"/>
        </w:rPr>
        <w:t xml:space="preserve"> optait pour la </w:t>
      </w:r>
      <w:proofErr w:type="spellStart"/>
      <w:r>
        <w:rPr>
          <w:rFonts w:ascii="Arial" w:hAnsi="Arial" w:cs="Arial"/>
          <w:color w:val="000000"/>
          <w:sz w:val="24"/>
          <w:shd w:val="clear" w:color="auto" w:fill="FFFFFF"/>
        </w:rPr>
        <w:t>déconjugalisation</w:t>
      </w:r>
      <w:proofErr w:type="spellEnd"/>
      <w:r>
        <w:rPr>
          <w:rFonts w:ascii="Arial" w:hAnsi="Arial" w:cs="Arial"/>
          <w:color w:val="000000"/>
          <w:sz w:val="24"/>
          <w:shd w:val="clear" w:color="auto" w:fill="FFFFFF"/>
        </w:rPr>
        <w:t xml:space="preserve"> contre l’avis du gouvernement. Un an après, le Sénat faisait de même… En procédant ainsi, le gouvernement n’a pas voulu courir le risque que </w:t>
      </w:r>
      <w:r w:rsidR="00104F9D">
        <w:rPr>
          <w:rFonts w:ascii="Arial" w:hAnsi="Arial" w:cs="Arial"/>
          <w:color w:val="000000"/>
          <w:sz w:val="24"/>
          <w:shd w:val="clear" w:color="auto" w:fill="FFFFFF"/>
        </w:rPr>
        <w:t>l</w:t>
      </w:r>
      <w:r>
        <w:rPr>
          <w:rFonts w:ascii="Arial" w:hAnsi="Arial" w:cs="Arial"/>
          <w:color w:val="000000"/>
          <w:sz w:val="24"/>
          <w:shd w:val="clear" w:color="auto" w:fill="FFFFFF"/>
        </w:rPr>
        <w:t xml:space="preserve">es députés le désavouent à nouveau. Le texte va repartir au Sénat… </w:t>
      </w:r>
      <w:r>
        <w:rPr>
          <w:rFonts w:ascii="Arial" w:hAnsi="Arial" w:cs="Arial"/>
          <w:b/>
          <w:bCs/>
          <w:color w:val="C00000"/>
          <w:sz w:val="24"/>
          <w:shd w:val="clear" w:color="auto" w:fill="FFFFFF"/>
        </w:rPr>
        <w:t xml:space="preserve">FORCE OUVRIERE soutient cette </w:t>
      </w:r>
      <w:proofErr w:type="spellStart"/>
      <w:r>
        <w:rPr>
          <w:rFonts w:ascii="Arial" w:hAnsi="Arial" w:cs="Arial"/>
          <w:b/>
          <w:bCs/>
          <w:color w:val="C00000"/>
          <w:sz w:val="24"/>
          <w:shd w:val="clear" w:color="auto" w:fill="FFFFFF"/>
        </w:rPr>
        <w:t>déconjugalisation</w:t>
      </w:r>
      <w:proofErr w:type="spellEnd"/>
      <w:r>
        <w:rPr>
          <w:rFonts w:ascii="Arial" w:hAnsi="Arial" w:cs="Arial"/>
          <w:b/>
          <w:bCs/>
          <w:color w:val="C00000"/>
          <w:sz w:val="24"/>
          <w:shd w:val="clear" w:color="auto" w:fill="FFFFFF"/>
        </w:rPr>
        <w:t> : garante de l’autonomie financière et de la dignité des personnes en situation de handicap.</w:t>
      </w:r>
    </w:p>
    <w:p w14:paraId="436EFF8E" w14:textId="144EBBA9" w:rsidR="00D62E6A" w:rsidRDefault="00D62E6A">
      <w:pPr>
        <w:spacing w:after="0" w:line="276" w:lineRule="auto"/>
        <w:jc w:val="both"/>
        <w:rPr>
          <w:rFonts w:ascii="Arial" w:hAnsi="Arial" w:cs="Arial"/>
          <w:b/>
          <w:bCs/>
          <w:color w:val="C00000"/>
          <w:sz w:val="24"/>
          <w:shd w:val="clear" w:color="auto" w:fill="FFFFFF"/>
        </w:rPr>
      </w:pPr>
    </w:p>
    <w:p w14:paraId="2B820A67" w14:textId="7C23C844" w:rsidR="00D62E6A" w:rsidRPr="00D62E6A" w:rsidRDefault="00D62E6A">
      <w:pPr>
        <w:spacing w:after="0" w:line="276" w:lineRule="auto"/>
        <w:jc w:val="both"/>
        <w:rPr>
          <w:rFonts w:ascii="Arial" w:hAnsi="Arial" w:cs="Arial"/>
          <w:sz w:val="24"/>
          <w:shd w:val="clear" w:color="auto" w:fill="FFFFFF"/>
        </w:rPr>
      </w:pPr>
      <w:r w:rsidRPr="00D62E6A">
        <w:rPr>
          <w:rFonts w:ascii="Arial" w:hAnsi="Arial" w:cs="Arial"/>
          <w:b/>
          <w:bCs/>
          <w:sz w:val="24"/>
          <w:shd w:val="clear" w:color="auto" w:fill="FFFFFF"/>
        </w:rPr>
        <w:t xml:space="preserve">Le 30 juin 2021, </w:t>
      </w:r>
      <w:r>
        <w:rPr>
          <w:rFonts w:ascii="Arial" w:hAnsi="Arial" w:cs="Arial"/>
          <w:sz w:val="24"/>
          <w:shd w:val="clear" w:color="auto" w:fill="FFFFFF"/>
        </w:rPr>
        <w:t xml:space="preserve">la composition et le fonctionnement du </w:t>
      </w:r>
      <w:r w:rsidRPr="00D62E6A">
        <w:rPr>
          <w:rFonts w:ascii="Arial" w:hAnsi="Arial" w:cs="Arial"/>
          <w:b/>
          <w:bCs/>
          <w:sz w:val="24"/>
          <w:shd w:val="clear" w:color="auto" w:fill="FFFFFF"/>
        </w:rPr>
        <w:t>comité stratégique relatif à la compensation du handicap des enfants et aux transports des personnes en situation de handicap</w:t>
      </w:r>
      <w:r>
        <w:rPr>
          <w:rFonts w:ascii="Arial" w:hAnsi="Arial" w:cs="Arial"/>
          <w:sz w:val="24"/>
          <w:shd w:val="clear" w:color="auto" w:fill="FFFFFF"/>
        </w:rPr>
        <w:t xml:space="preserve"> ont été précisés par décret (</w:t>
      </w:r>
      <w:hyperlink r:id="rId20" w:history="1">
        <w:r w:rsidRPr="00D62E6A">
          <w:rPr>
            <w:rStyle w:val="Lienhypertexte"/>
            <w:rFonts w:ascii="Arial" w:hAnsi="Arial" w:cs="Arial"/>
            <w:sz w:val="24"/>
            <w:shd w:val="clear" w:color="auto" w:fill="FFFFFF"/>
          </w:rPr>
          <w:t>Décret n°2021-833 du 29 juin 2021</w:t>
        </w:r>
      </w:hyperlink>
      <w:r>
        <w:rPr>
          <w:rFonts w:ascii="Arial" w:hAnsi="Arial" w:cs="Arial"/>
          <w:sz w:val="24"/>
          <w:shd w:val="clear" w:color="auto" w:fill="FFFFFF"/>
        </w:rPr>
        <w:t>). Ce comité se réunira au moins une fois par an et regroupera des représentants des collectivités territoriales, des associations, des organismes nationaux…</w:t>
      </w:r>
    </w:p>
    <w:p w14:paraId="6D74A603" w14:textId="77777777" w:rsidR="000233BA" w:rsidRDefault="00697AFD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1665A538" wp14:editId="57ABB319">
            <wp:extent cx="6042845" cy="3025140"/>
            <wp:effectExtent l="0" t="0" r="0" b="3810"/>
            <wp:docPr id="4" name="Image 1" descr="Image d'une roue de fauteuil roulant actionnée par 3 mai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1" descr="Image d'une roue de fauteuil roulant actionnée par 3 mains.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393" cy="3028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FA64D" w14:textId="77777777" w:rsidR="000233BA" w:rsidRDefault="00697AFD">
      <w:pPr>
        <w:pBdr>
          <w:top w:val="single" w:sz="18" w:space="1" w:color="00FF99"/>
          <w:left w:val="single" w:sz="18" w:space="4" w:color="00FF99"/>
          <w:bottom w:val="single" w:sz="18" w:space="1" w:color="00FF99"/>
          <w:right w:val="single" w:sz="18" w:space="4" w:color="00FF99"/>
        </w:pBdr>
        <w:spacing w:after="0" w:line="276" w:lineRule="auto"/>
        <w:jc w:val="center"/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222222"/>
          <w:sz w:val="24"/>
          <w:szCs w:val="24"/>
          <w:u w:val="single"/>
        </w:rPr>
        <w:t>Evénements :</w:t>
      </w:r>
    </w:p>
    <w:p w14:paraId="088BC2D3" w14:textId="77777777" w:rsidR="000233BA" w:rsidRDefault="00697AFD">
      <w:pPr>
        <w:pBdr>
          <w:top w:val="single" w:sz="18" w:space="1" w:color="00FF99"/>
          <w:left w:val="single" w:sz="18" w:space="4" w:color="00FF99"/>
          <w:bottom w:val="single" w:sz="18" w:space="1" w:color="00FF99"/>
          <w:right w:val="single" w:sz="18" w:space="4" w:color="00FF99"/>
        </w:pBd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Du 1</w:t>
      </w:r>
      <w:r>
        <w:rPr>
          <w:rFonts w:ascii="Arial" w:eastAsia="Arial" w:hAnsi="Arial" w:cs="Arial"/>
          <w:b/>
          <w:sz w:val="24"/>
          <w:szCs w:val="24"/>
          <w:vertAlign w:val="superscript"/>
        </w:rPr>
        <w:t>er</w:t>
      </w:r>
      <w:r>
        <w:rPr>
          <w:rFonts w:ascii="Arial" w:eastAsia="Arial" w:hAnsi="Arial" w:cs="Arial"/>
          <w:b/>
          <w:sz w:val="24"/>
          <w:szCs w:val="24"/>
        </w:rPr>
        <w:t xml:space="preserve"> février au 30 avril 2021 :</w:t>
      </w:r>
      <w:r>
        <w:rPr>
          <w:rFonts w:ascii="Arial" w:eastAsia="Arial" w:hAnsi="Arial" w:cs="Arial"/>
          <w:sz w:val="24"/>
          <w:szCs w:val="24"/>
        </w:rPr>
        <w:t xml:space="preserve"> </w:t>
      </w:r>
      <w:hyperlink r:id="rId22" w:anchor=":~:text=30 avril 2021-,La campagne de déclaration annuelle au FIPHFP se déroulera,février au 30 avril 2021&amp;text=Afin de vous accompagner%2C des,RQTH vous seront prochainement communiquées." w:history="1">
        <w:r>
          <w:rPr>
            <w:rStyle w:val="LienInternet"/>
            <w:rFonts w:ascii="Arial" w:eastAsia="Arial" w:hAnsi="Arial" w:cs="Arial"/>
            <w:sz w:val="24"/>
            <w:szCs w:val="24"/>
          </w:rPr>
          <w:t>Campagne de déclaration annuelle d’obligation d’emploi de travailleurs handicapés</w:t>
        </w:r>
      </w:hyperlink>
      <w:r>
        <w:rPr>
          <w:rFonts w:ascii="Arial" w:eastAsia="Arial" w:hAnsi="Arial" w:cs="Arial"/>
          <w:sz w:val="24"/>
          <w:szCs w:val="24"/>
        </w:rPr>
        <w:t>.</w:t>
      </w:r>
    </w:p>
    <w:p w14:paraId="74BDCCE0" w14:textId="77777777" w:rsidR="000233BA" w:rsidRDefault="00697AFD">
      <w:pPr>
        <w:pBdr>
          <w:top w:val="single" w:sz="18" w:space="1" w:color="00FF99"/>
          <w:left w:val="single" w:sz="18" w:space="4" w:color="00FF99"/>
          <w:bottom w:val="single" w:sz="18" w:space="1" w:color="00FF99"/>
          <w:right w:val="single" w:sz="18" w:space="4" w:color="00FF99"/>
        </w:pBdr>
        <w:spacing w:after="0" w:line="276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Le 12 juin 2021 :</w:t>
      </w:r>
      <w:r>
        <w:rPr>
          <w:rFonts w:ascii="Arial" w:eastAsia="Arial" w:hAnsi="Arial" w:cs="Arial"/>
          <w:sz w:val="24"/>
          <w:szCs w:val="24"/>
        </w:rPr>
        <w:t xml:space="preserve"> </w:t>
      </w:r>
      <w:hyperlink r:id="rId23">
        <w:r>
          <w:rPr>
            <w:rStyle w:val="LienInternet"/>
            <w:rFonts w:ascii="Arial" w:eastAsia="Arial" w:hAnsi="Arial" w:cs="Arial"/>
            <w:sz w:val="24"/>
            <w:szCs w:val="24"/>
          </w:rPr>
          <w:t>Nuit du handicap</w:t>
        </w:r>
      </w:hyperlink>
    </w:p>
    <w:p w14:paraId="30699E5E" w14:textId="77777777" w:rsidR="000233BA" w:rsidRDefault="00697AFD">
      <w:pPr>
        <w:pBdr>
          <w:top w:val="single" w:sz="18" w:space="1" w:color="00FF99"/>
          <w:left w:val="single" w:sz="18" w:space="4" w:color="00FF99"/>
          <w:bottom w:val="single" w:sz="18" w:space="1" w:color="00FF99"/>
          <w:right w:val="single" w:sz="18" w:space="4" w:color="00FF99"/>
        </w:pBdr>
        <w:spacing w:after="0" w:line="276" w:lineRule="auto"/>
        <w:jc w:val="center"/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222222"/>
          <w:sz w:val="24"/>
          <w:szCs w:val="24"/>
          <w:u w:val="single"/>
        </w:rPr>
        <w:t>A venir… :</w:t>
      </w:r>
    </w:p>
    <w:p w14:paraId="5EED52B0" w14:textId="77777777" w:rsidR="000233BA" w:rsidRDefault="00697AFD">
      <w:pPr>
        <w:pBdr>
          <w:top w:val="single" w:sz="18" w:space="1" w:color="00FF99"/>
          <w:left w:val="single" w:sz="18" w:space="4" w:color="00FF99"/>
          <w:bottom w:val="single" w:sz="18" w:space="1" w:color="00FF99"/>
          <w:right w:val="single" w:sz="18" w:space="4" w:color="00FF99"/>
        </w:pBdr>
        <w:spacing w:after="0" w:line="276" w:lineRule="auto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4"/>
          <w:szCs w:val="24"/>
        </w:rPr>
        <w:t>Le 5 juillet 2021 :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hyperlink r:id="rId24">
        <w:r>
          <w:rPr>
            <w:rStyle w:val="LienInternet"/>
            <w:rFonts w:ascii="Arial" w:hAnsi="Arial" w:cs="Arial"/>
            <w:sz w:val="24"/>
            <w:szCs w:val="24"/>
          </w:rPr>
          <w:t>Réunion du CIH (Comité Interministériel du Handicap)</w:t>
        </w:r>
      </w:hyperlink>
      <w:r>
        <w:rPr>
          <w:rFonts w:ascii="Arial" w:hAnsi="Arial" w:cs="Arial"/>
          <w:color w:val="222222"/>
          <w:sz w:val="24"/>
          <w:szCs w:val="24"/>
        </w:rPr>
        <w:t>.</w:t>
      </w:r>
    </w:p>
    <w:p w14:paraId="518A2246" w14:textId="77777777" w:rsidR="000233BA" w:rsidRDefault="00697AFD">
      <w:pPr>
        <w:pBdr>
          <w:top w:val="single" w:sz="18" w:space="1" w:color="00FF99"/>
          <w:left w:val="single" w:sz="18" w:space="4" w:color="00FF99"/>
          <w:bottom w:val="single" w:sz="18" w:space="1" w:color="00FF99"/>
          <w:right w:val="single" w:sz="18" w:space="4" w:color="00FF99"/>
        </w:pBdr>
        <w:spacing w:after="0" w:line="276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Du 15 au 21 novembre 2021 : </w:t>
      </w:r>
      <w:hyperlink r:id="rId25">
        <w:r>
          <w:rPr>
            <w:rStyle w:val="LienInternet"/>
            <w:rFonts w:ascii="Arial" w:eastAsia="Arial" w:hAnsi="Arial" w:cs="Arial"/>
            <w:bCs/>
            <w:sz w:val="24"/>
            <w:szCs w:val="24"/>
          </w:rPr>
          <w:t>SEEPH (Semaine Européenne pour l’Emploi des Personnes Handicapées) et Duo Day</w:t>
        </w:r>
      </w:hyperlink>
      <w:r>
        <w:rPr>
          <w:rFonts w:ascii="Arial" w:eastAsia="Arial" w:hAnsi="Arial" w:cs="Arial"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(18 novembre)</w:t>
      </w:r>
    </w:p>
    <w:sectPr w:rsidR="000233BA">
      <w:type w:val="continuous"/>
      <w:pgSz w:w="11906" w:h="16838"/>
      <w:pgMar w:top="709" w:right="1134" w:bottom="1134" w:left="1134" w:header="0" w:footer="59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CA795" w14:textId="77777777" w:rsidR="00B51EE3" w:rsidRDefault="00B51EE3">
      <w:pPr>
        <w:spacing w:after="0" w:line="240" w:lineRule="auto"/>
      </w:pPr>
      <w:r>
        <w:separator/>
      </w:r>
    </w:p>
  </w:endnote>
  <w:endnote w:type="continuationSeparator" w:id="0">
    <w:p w14:paraId="71639B31" w14:textId="77777777" w:rsidR="00B51EE3" w:rsidRDefault="00B51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F5586" w14:textId="77777777" w:rsidR="000233BA" w:rsidRDefault="00697AFD">
    <w:pP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Pour nous contacter : </w:t>
    </w:r>
    <w:hyperlink r:id="rId1">
      <w:r>
        <w:rPr>
          <w:color w:val="0563C1"/>
          <w:u w:val="single"/>
        </w:rPr>
        <w:t>handicap.fonctionpubliquefo@gmail.com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C733A" w14:textId="77777777" w:rsidR="00B51EE3" w:rsidRDefault="00B51EE3">
      <w:pPr>
        <w:spacing w:after="0" w:line="240" w:lineRule="auto"/>
      </w:pPr>
      <w:r>
        <w:separator/>
      </w:r>
    </w:p>
  </w:footnote>
  <w:footnote w:type="continuationSeparator" w:id="0">
    <w:p w14:paraId="1C0F1FE5" w14:textId="77777777" w:rsidR="00B51EE3" w:rsidRDefault="00B51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265C5"/>
    <w:multiLevelType w:val="hybridMultilevel"/>
    <w:tmpl w:val="83642448"/>
    <w:lvl w:ilvl="0" w:tplc="7FBE25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3BA"/>
    <w:rsid w:val="000233BA"/>
    <w:rsid w:val="00104F9D"/>
    <w:rsid w:val="00231EF7"/>
    <w:rsid w:val="002D4124"/>
    <w:rsid w:val="004C3F16"/>
    <w:rsid w:val="00637A61"/>
    <w:rsid w:val="00697AFD"/>
    <w:rsid w:val="006C23AF"/>
    <w:rsid w:val="00966A06"/>
    <w:rsid w:val="00B51EE3"/>
    <w:rsid w:val="00CB7308"/>
    <w:rsid w:val="00D62E6A"/>
    <w:rsid w:val="00E705C2"/>
    <w:rsid w:val="00FA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118D3"/>
  <w15:docId w15:val="{FAA72C3D-DD0D-450A-81B8-F04C35CC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Textbody"/>
    <w:link w:val="Titre3Car"/>
    <w:uiPriority w:val="9"/>
    <w:semiHidden/>
    <w:unhideWhenUsed/>
    <w:qFormat/>
    <w:rsid w:val="000C50F4"/>
    <w:pPr>
      <w:keepNext/>
      <w:spacing w:before="240" w:after="120" w:line="254" w:lineRule="auto"/>
      <w:textAlignment w:val="baseline"/>
      <w:outlineLvl w:val="2"/>
    </w:pPr>
    <w:rPr>
      <w:rFonts w:ascii="Times New Roman" w:eastAsia="SimSun" w:hAnsi="Times New Roman" w:cs="Arial"/>
      <w:b/>
      <w:bCs/>
      <w:kern w:val="2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046632"/>
  </w:style>
  <w:style w:type="character" w:customStyle="1" w:styleId="PieddepageCar">
    <w:name w:val="Pied de page Car"/>
    <w:basedOn w:val="Policepardfaut"/>
    <w:link w:val="Pieddepage"/>
    <w:uiPriority w:val="99"/>
    <w:qFormat/>
    <w:rsid w:val="00046632"/>
  </w:style>
  <w:style w:type="character" w:customStyle="1" w:styleId="LienInternet">
    <w:name w:val="Lien Internet"/>
    <w:basedOn w:val="Policepardfaut"/>
    <w:uiPriority w:val="99"/>
    <w:unhideWhenUsed/>
    <w:rsid w:val="0004663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qFormat/>
    <w:rsid w:val="00046632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qFormat/>
    <w:rsid w:val="000C50F4"/>
    <w:rPr>
      <w:rFonts w:ascii="Times New Roman" w:eastAsia="SimSun" w:hAnsi="Times New Roman" w:cs="Arial"/>
      <w:b/>
      <w:bCs/>
      <w:kern w:val="2"/>
      <w:sz w:val="28"/>
      <w:szCs w:val="28"/>
    </w:rPr>
  </w:style>
  <w:style w:type="character" w:customStyle="1" w:styleId="Accentuationforte">
    <w:name w:val="Accentuation forte"/>
    <w:qFormat/>
    <w:rsid w:val="000C50F4"/>
    <w:rPr>
      <w:b/>
      <w:bCs/>
    </w:rPr>
  </w:style>
  <w:style w:type="character" w:customStyle="1" w:styleId="il">
    <w:name w:val="il"/>
    <w:basedOn w:val="Policepardfaut"/>
    <w:qFormat/>
    <w:rsid w:val="001809AF"/>
  </w:style>
  <w:style w:type="character" w:customStyle="1" w:styleId="LienInternetvisit">
    <w:name w:val="Lien Internet visité"/>
    <w:basedOn w:val="Policepardfaut"/>
    <w:uiPriority w:val="99"/>
    <w:semiHidden/>
    <w:unhideWhenUsed/>
    <w:rsid w:val="00021A9E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5F1B67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5F1B67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5F1B67"/>
    <w:rPr>
      <w:b/>
      <w:bCs/>
      <w:sz w:val="20"/>
      <w:szCs w:val="20"/>
    </w:rPr>
  </w:style>
  <w:style w:type="paragraph" w:styleId="Titre">
    <w:name w:val="Title"/>
    <w:basedOn w:val="Normal"/>
    <w:next w:val="Corpsdetext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046632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04663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harChar1">
    <w:name w:val="Char Char1"/>
    <w:basedOn w:val="Normal"/>
    <w:qFormat/>
    <w:rsid w:val="00A01790"/>
    <w:pPr>
      <w:spacing w:line="240" w:lineRule="exact"/>
      <w:jc w:val="both"/>
    </w:pPr>
    <w:rPr>
      <w:rFonts w:ascii="Tahoma" w:eastAsia="Times New Roman" w:hAnsi="Tahoma" w:cs="Arial"/>
      <w:bCs/>
      <w:sz w:val="24"/>
      <w:szCs w:val="20"/>
      <w:lang w:val="en-US" w:eastAsia="en-US"/>
    </w:rPr>
  </w:style>
  <w:style w:type="paragraph" w:customStyle="1" w:styleId="Standard">
    <w:name w:val="Standard"/>
    <w:qFormat/>
    <w:rsid w:val="000C50F4"/>
    <w:pPr>
      <w:spacing w:after="160" w:line="254" w:lineRule="auto"/>
      <w:textAlignment w:val="baseline"/>
    </w:pPr>
    <w:rPr>
      <w:rFonts w:eastAsia="SimSun" w:cs="Tahoma"/>
      <w:kern w:val="2"/>
    </w:rPr>
  </w:style>
  <w:style w:type="paragraph" w:customStyle="1" w:styleId="Textbody">
    <w:name w:val="Text body"/>
    <w:basedOn w:val="Standard"/>
    <w:qFormat/>
    <w:rsid w:val="000C50F4"/>
    <w:pPr>
      <w:spacing w:after="120"/>
    </w:pPr>
  </w:style>
  <w:style w:type="paragraph" w:styleId="Paragraphedeliste">
    <w:name w:val="List Paragraph"/>
    <w:basedOn w:val="Normal"/>
    <w:uiPriority w:val="34"/>
    <w:qFormat/>
    <w:rsid w:val="0057540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655E7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5F1B67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5F1B67"/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D62E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olidarites-sante.gouv.fr/systeme-de-sante-et-medico-social/100pourcent-sante/100-sante-audiologie/article/100-sante-audiologie-un-large-choix-d-aides-auditives-de-qualites-performantes" TargetMode="External"/><Relationship Id="rId18" Type="http://schemas.openxmlformats.org/officeDocument/2006/relationships/hyperlink" Target="http://www.fiphfp.fr/Le-FIPHFP/Actualites-du-FIPHFP/Une-nouvelle-version-du-catalogue-des-interventions-du-FIPHFP-est-disponible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image" Target="media/image4.jpe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www.fiphfp.fr/Le-FIPHFP/Actualites-du-FIPHFP/Le-FIPHFP-lance-la-3e-generation-de-son-dispositif-Handi-Pacte" TargetMode="External"/><Relationship Id="rId25" Type="http://schemas.openxmlformats.org/officeDocument/2006/relationships/hyperlink" Target="http://www.fiphfp.fr/Le-FIPHFP/Actualites-du-FIPHFP/Lancement-de-la-4eme-edition-DuoDay-le-18-novembre-202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egifrance.gouv.fr/jorf/id/JORFTEXT000043328927" TargetMode="External"/><Relationship Id="rId20" Type="http://schemas.openxmlformats.org/officeDocument/2006/relationships/hyperlink" Target="https://www.legifrance.gouv.fr/jorf/id/JORFTEXT00004371417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s://informations.handicap.fr/a-comite-interministeriel-handicap-cih-juillet-2021-31041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legifrance.gouv.fr/jorf/id/JORFTEXT000043459535" TargetMode="External"/><Relationship Id="rId23" Type="http://schemas.openxmlformats.org/officeDocument/2006/relationships/hyperlink" Target="https://informations.handicap.fr/a-nuit-handicap-rencontre-fete-30917.php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force-ouvriere.fr/la-deconjugalisation-de-l-aah-retoquee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www.legifrance.gouv.fr/jorf/id/JORFTEXT000043216843" TargetMode="External"/><Relationship Id="rId22" Type="http://schemas.openxmlformats.org/officeDocument/2006/relationships/hyperlink" Target="http://www.fiphfp.fr/Obligations/Actualites-des-obligations-employeurs/La-campagne-de-declaration-annuelle-au-FIPHFP-se-deroulera-du-1er-fevrier-au-30-avril-2021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ndicap.fonctionpubliquefo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jkHIa6T5x4TaLY4PITHmCVyCeApA==">AMUW2mUbsDou+PTC6WWF/Qx+2sOgu1pukbih2Aqe1L0U89DtPr58kItrE07B6HIKwLNnyUvqvAuVyEesa5MxoUP6BK9X9dJV1h4kMRpsSoDW3pUhxxLRYZAmZd2MVJHPoFl33tbBajq6gxwq1SDg59dQLJylFTVTQjkiLZa7HlzrH65gmZsNUi8=</go:docsCustomData>
</go:gDocsCustomXmlDataStorage>
</file>

<file path=customXml/itemProps1.xml><?xml version="1.0" encoding="utf-8"?>
<ds:datastoreItem xmlns:ds="http://schemas.openxmlformats.org/officeDocument/2006/customXml" ds:itemID="{FB541137-0320-4C94-A9BE-A89D0C967B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4</Pages>
  <Words>1600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Beyret</dc:creator>
  <dc:description/>
  <cp:lastModifiedBy>Laure BEYRET</cp:lastModifiedBy>
  <cp:revision>33</cp:revision>
  <dcterms:created xsi:type="dcterms:W3CDTF">2019-09-12T12:56:00Z</dcterms:created>
  <dcterms:modified xsi:type="dcterms:W3CDTF">2021-06-30T10:38:00Z</dcterms:modified>
  <dc:language>fr-FR</dc:language>
</cp:coreProperties>
</file>